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022EC" w14:textId="77777777" w:rsidR="00E66A46" w:rsidRPr="0015180A" w:rsidRDefault="00E66A46" w:rsidP="00E66A46">
      <w:pPr>
        <w:rPr>
          <w:rFonts w:ascii="Grundfos TheSans V2" w:hAnsi="Grundfos TheSans V2"/>
          <w:b/>
          <w:bCs/>
          <w:sz w:val="28"/>
          <w:szCs w:val="28"/>
        </w:rPr>
      </w:pPr>
      <w:permStart w:id="1364140959" w:edGrp="everyone"/>
      <w:r w:rsidRPr="0015180A">
        <w:rPr>
          <w:rFonts w:ascii="Grundfos TheSans V2" w:hAnsi="Grundfos TheSans V2"/>
          <w:b/>
          <w:bCs/>
          <w:sz w:val="28"/>
          <w:szCs w:val="28"/>
        </w:rPr>
        <w:t>Grundfos Launches New Policy Paper Showing How Water Efficiency Can Help Secure America's Water Future</w:t>
      </w:r>
    </w:p>
    <w:p w14:paraId="06487A6D" w14:textId="77777777" w:rsidR="00E66A46" w:rsidRPr="0015180A" w:rsidRDefault="00E66A46" w:rsidP="00E66A46">
      <w:pPr>
        <w:rPr>
          <w:rFonts w:ascii="Grundfos TheSans V2" w:hAnsi="Grundfos TheSans V2"/>
          <w:sz w:val="24"/>
          <w:szCs w:val="24"/>
        </w:rPr>
      </w:pPr>
      <w:r w:rsidRPr="0015180A">
        <w:rPr>
          <w:rFonts w:ascii="Grundfos TheSans V2" w:hAnsi="Grundfos TheSans V2"/>
          <w:b/>
          <w:bCs/>
          <w:sz w:val="24"/>
          <w:szCs w:val="24"/>
        </w:rPr>
        <w:t>Every Drop Counts: How Efficiency Becomes Supply outlines practical steps to recover, reuse and optimize water resources across communities, industry and agriculture</w:t>
      </w:r>
    </w:p>
    <w:p w14:paraId="258D4E0A" w14:textId="77777777" w:rsidR="00E66A46" w:rsidRPr="0015180A" w:rsidRDefault="00E66A46" w:rsidP="00E66A46">
      <w:pPr>
        <w:rPr>
          <w:rFonts w:ascii="Grundfos TheSans V2" w:hAnsi="Grundfos TheSans V2"/>
          <w:sz w:val="24"/>
          <w:szCs w:val="24"/>
        </w:rPr>
      </w:pPr>
      <w:r w:rsidRPr="0015180A">
        <w:rPr>
          <w:rFonts w:ascii="Grundfos TheSans V2" w:hAnsi="Grundfos TheSans V2"/>
          <w:b/>
          <w:bCs/>
          <w:sz w:val="24"/>
          <w:szCs w:val="24"/>
        </w:rPr>
        <w:t>NEW YORK, Sept. 23, 2026</w:t>
      </w:r>
      <w:r w:rsidRPr="0015180A">
        <w:rPr>
          <w:rFonts w:ascii="Grundfos TheSans V2" w:hAnsi="Grundfos TheSans V2"/>
          <w:sz w:val="24"/>
          <w:szCs w:val="24"/>
        </w:rPr>
        <w:t xml:space="preserve"> – Grundfos, a global leader in advanced water technology, today launched </w:t>
      </w:r>
      <w:r w:rsidRPr="0015180A">
        <w:rPr>
          <w:rFonts w:ascii="Grundfos TheSans V2" w:hAnsi="Grundfos TheSans V2"/>
          <w:i/>
          <w:iCs/>
          <w:sz w:val="24"/>
          <w:szCs w:val="24"/>
        </w:rPr>
        <w:t>Every Drop Counts: How Efficiency Becomes Supply</w:t>
      </w:r>
      <w:r w:rsidRPr="0015180A">
        <w:rPr>
          <w:rFonts w:ascii="Grundfos TheSans V2" w:hAnsi="Grundfos TheSans V2"/>
          <w:sz w:val="24"/>
          <w:szCs w:val="24"/>
        </w:rPr>
        <w:t>, a new policy paper that highlights how water efficiency, reuse and smarter management can help address growing water stress across the United States.</w:t>
      </w:r>
    </w:p>
    <w:p w14:paraId="38F79014" w14:textId="77777777" w:rsidR="00E66A46" w:rsidRPr="0015180A" w:rsidRDefault="00E66A46" w:rsidP="00E66A46">
      <w:pPr>
        <w:rPr>
          <w:rFonts w:ascii="Grundfos TheSans V2" w:hAnsi="Grundfos TheSans V2"/>
          <w:sz w:val="24"/>
          <w:szCs w:val="24"/>
        </w:rPr>
      </w:pPr>
      <w:r w:rsidRPr="0015180A">
        <w:rPr>
          <w:rFonts w:ascii="Grundfos TheSans V2" w:hAnsi="Grundfos TheSans V2"/>
          <w:sz w:val="24"/>
          <w:szCs w:val="24"/>
        </w:rPr>
        <w:t>Released during Climate Week NYC, the paper argues that one of the fastest and most cost-effective ways to increase water availability is to get more value from the water already in use. The report was introduced at "From Scarcity to Circularity: Managing Water in a Changing World," a roundtable hosted by Grundfos and the Consulate General of Denmark in New York at Denmark House, bringing together leaders from government, industry, utilities and civil society.</w:t>
      </w:r>
    </w:p>
    <w:p w14:paraId="0C5F1CD2" w14:textId="77777777" w:rsidR="00E66A46" w:rsidRPr="0015180A" w:rsidRDefault="00E66A46" w:rsidP="00E66A46">
      <w:pPr>
        <w:rPr>
          <w:rFonts w:ascii="Grundfos TheSans V2" w:hAnsi="Grundfos TheSans V2"/>
          <w:sz w:val="24"/>
          <w:szCs w:val="24"/>
        </w:rPr>
      </w:pPr>
      <w:r w:rsidRPr="0015180A">
        <w:rPr>
          <w:rFonts w:ascii="Grundfos TheSans V2" w:hAnsi="Grundfos TheSans V2"/>
          <w:sz w:val="24"/>
          <w:szCs w:val="24"/>
        </w:rPr>
        <w:t xml:space="preserve">"As communities across the United States face growing water demands, we have an opportunity to rethink how we manage one of our most important resources," said Ansell Sims, Chief Executive Officer, Grundfos Americas. "Water efficiency and reuse are proven solutions that can help strengthen resilience, support economic growth and create more sustainable communities. </w:t>
      </w:r>
      <w:proofErr w:type="gramStart"/>
      <w:r w:rsidRPr="0015180A">
        <w:rPr>
          <w:rFonts w:ascii="Grundfos TheSans V2" w:hAnsi="Grundfos TheSans V2"/>
          <w:sz w:val="24"/>
          <w:szCs w:val="24"/>
        </w:rPr>
        <w:t>The technology</w:t>
      </w:r>
      <w:proofErr w:type="gramEnd"/>
      <w:r w:rsidRPr="0015180A">
        <w:rPr>
          <w:rFonts w:ascii="Grundfos TheSans V2" w:hAnsi="Grundfos TheSans V2"/>
          <w:sz w:val="24"/>
          <w:szCs w:val="24"/>
        </w:rPr>
        <w:t xml:space="preserve"> exists today. The challenge is scaling what works."</w:t>
      </w:r>
    </w:p>
    <w:p w14:paraId="37E157B1" w14:textId="77777777" w:rsidR="00E66A46" w:rsidRPr="0015180A" w:rsidRDefault="00E66A46" w:rsidP="00E66A46">
      <w:pPr>
        <w:rPr>
          <w:rFonts w:ascii="Grundfos TheSans V2" w:hAnsi="Grundfos TheSans V2"/>
          <w:sz w:val="24"/>
          <w:szCs w:val="24"/>
        </w:rPr>
      </w:pPr>
      <w:r w:rsidRPr="0015180A">
        <w:rPr>
          <w:rFonts w:ascii="Grundfos TheSans V2" w:hAnsi="Grundfos TheSans V2"/>
          <w:sz w:val="24"/>
          <w:szCs w:val="24"/>
        </w:rPr>
        <w:t>The report examines how water scarcity is increasingly affecting communities, businesses and ecosystems. In a typical year, approximately 60 percent of U.S. land area and half of the population experience medium-to-high water stress. At the same time, significant volumes of treated water are lost through leaks, inefficient systems or one-time uses when reuse solutions are available.</w:t>
      </w:r>
    </w:p>
    <w:p w14:paraId="5AEDEC01" w14:textId="77777777" w:rsidR="00E66A46" w:rsidRPr="0015180A" w:rsidRDefault="00E66A46" w:rsidP="00E66A46">
      <w:pPr>
        <w:rPr>
          <w:rFonts w:ascii="Grundfos TheSans V2" w:hAnsi="Grundfos TheSans V2"/>
          <w:sz w:val="24"/>
          <w:szCs w:val="24"/>
        </w:rPr>
      </w:pPr>
      <w:r w:rsidRPr="0015180A">
        <w:rPr>
          <w:rFonts w:ascii="Grundfos TheSans V2" w:hAnsi="Grundfos TheSans V2"/>
          <w:sz w:val="24"/>
          <w:szCs w:val="24"/>
        </w:rPr>
        <w:t>While large-scale infrastructure investments such as reservoirs, pipelines and desalination facilities remain important, the paper highlights efficiency and reuse as practical strategies that can deliver meaningful water savings more quickly and at lower cost.</w:t>
      </w:r>
    </w:p>
    <w:p w14:paraId="7483BFDF" w14:textId="77777777" w:rsidR="00E66A46" w:rsidRPr="0015180A" w:rsidRDefault="00E66A46" w:rsidP="00E66A46">
      <w:pPr>
        <w:rPr>
          <w:rFonts w:ascii="Grundfos TheSans V2" w:hAnsi="Grundfos TheSans V2"/>
          <w:b/>
          <w:bCs/>
          <w:sz w:val="24"/>
          <w:szCs w:val="24"/>
        </w:rPr>
      </w:pPr>
      <w:proofErr w:type="gramStart"/>
      <w:r w:rsidRPr="0015180A">
        <w:rPr>
          <w:rFonts w:ascii="Grundfos TheSans V2" w:hAnsi="Grundfos TheSans V2"/>
          <w:b/>
          <w:bCs/>
          <w:sz w:val="24"/>
          <w:szCs w:val="24"/>
        </w:rPr>
        <w:t>Proven</w:t>
      </w:r>
      <w:proofErr w:type="gramEnd"/>
      <w:r w:rsidRPr="0015180A">
        <w:rPr>
          <w:rFonts w:ascii="Grundfos TheSans V2" w:hAnsi="Grundfos TheSans V2"/>
          <w:b/>
          <w:bCs/>
          <w:sz w:val="24"/>
          <w:szCs w:val="24"/>
        </w:rPr>
        <w:t xml:space="preserve"> Solutions Available Today</w:t>
      </w:r>
    </w:p>
    <w:p w14:paraId="7D64C239" w14:textId="77777777" w:rsidR="00E66A46" w:rsidRPr="0015180A" w:rsidRDefault="00E66A46" w:rsidP="00E66A46">
      <w:pPr>
        <w:rPr>
          <w:rFonts w:ascii="Grundfos TheSans V2" w:hAnsi="Grundfos TheSans V2"/>
          <w:sz w:val="24"/>
          <w:szCs w:val="24"/>
        </w:rPr>
      </w:pPr>
      <w:r w:rsidRPr="0015180A">
        <w:rPr>
          <w:rFonts w:ascii="Grundfos TheSans V2" w:hAnsi="Grundfos TheSans V2"/>
          <w:i/>
          <w:iCs/>
          <w:sz w:val="24"/>
          <w:szCs w:val="24"/>
        </w:rPr>
        <w:t>Every Drop Counts</w:t>
      </w:r>
      <w:r w:rsidRPr="0015180A">
        <w:rPr>
          <w:rFonts w:ascii="Grundfos TheSans V2" w:hAnsi="Grundfos TheSans V2"/>
          <w:sz w:val="24"/>
          <w:szCs w:val="24"/>
        </w:rPr>
        <w:t xml:space="preserve"> showcases technologies and approaches that are already helping customers optimize water use across sectors:</w:t>
      </w:r>
    </w:p>
    <w:p w14:paraId="1D7BFA6C" w14:textId="77777777" w:rsidR="00E66A46" w:rsidRPr="0015180A" w:rsidRDefault="00E66A46" w:rsidP="00E66A46">
      <w:pPr>
        <w:numPr>
          <w:ilvl w:val="0"/>
          <w:numId w:val="42"/>
        </w:numPr>
        <w:rPr>
          <w:rFonts w:ascii="Grundfos TheSans V2" w:hAnsi="Grundfos TheSans V2"/>
          <w:sz w:val="24"/>
          <w:szCs w:val="24"/>
        </w:rPr>
      </w:pPr>
      <w:r w:rsidRPr="0015180A">
        <w:rPr>
          <w:rFonts w:ascii="Grundfos TheSans V2" w:hAnsi="Grundfos TheSans V2"/>
          <w:b/>
          <w:bCs/>
          <w:sz w:val="24"/>
          <w:szCs w:val="24"/>
        </w:rPr>
        <w:t>Buildings:</w:t>
      </w:r>
      <w:r w:rsidRPr="0015180A">
        <w:rPr>
          <w:rFonts w:ascii="Grundfos TheSans V2" w:hAnsi="Grundfos TheSans V2"/>
          <w:sz w:val="24"/>
          <w:szCs w:val="24"/>
        </w:rPr>
        <w:t xml:space="preserve"> Smart hot water recirculation systems reduce water wasted while waiting for hot water and can help identify hidden leaks.</w:t>
      </w:r>
    </w:p>
    <w:p w14:paraId="3842C27F" w14:textId="77777777" w:rsidR="00E66A46" w:rsidRPr="0015180A" w:rsidRDefault="00E66A46" w:rsidP="00E66A46">
      <w:pPr>
        <w:numPr>
          <w:ilvl w:val="0"/>
          <w:numId w:val="42"/>
        </w:numPr>
        <w:rPr>
          <w:rFonts w:ascii="Grundfos TheSans V2" w:hAnsi="Grundfos TheSans V2"/>
          <w:sz w:val="24"/>
          <w:szCs w:val="24"/>
        </w:rPr>
      </w:pPr>
      <w:r w:rsidRPr="0015180A">
        <w:rPr>
          <w:rFonts w:ascii="Grundfos TheSans V2" w:hAnsi="Grundfos TheSans V2"/>
          <w:b/>
          <w:bCs/>
          <w:sz w:val="24"/>
          <w:szCs w:val="24"/>
        </w:rPr>
        <w:t>Agriculture:</w:t>
      </w:r>
      <w:r w:rsidRPr="0015180A">
        <w:rPr>
          <w:rFonts w:ascii="Grundfos TheSans V2" w:hAnsi="Grundfos TheSans V2"/>
          <w:sz w:val="24"/>
          <w:szCs w:val="24"/>
        </w:rPr>
        <w:t xml:space="preserve"> Precision irrigation technologies apply water based on crop requirements, soil conditions and local weather data.</w:t>
      </w:r>
    </w:p>
    <w:p w14:paraId="742C63FD" w14:textId="77777777" w:rsidR="00E66A46" w:rsidRPr="0015180A" w:rsidRDefault="00E66A46" w:rsidP="00E66A46">
      <w:pPr>
        <w:numPr>
          <w:ilvl w:val="0"/>
          <w:numId w:val="42"/>
        </w:numPr>
        <w:rPr>
          <w:rFonts w:ascii="Grundfos TheSans V2" w:hAnsi="Grundfos TheSans V2"/>
          <w:sz w:val="24"/>
          <w:szCs w:val="24"/>
        </w:rPr>
      </w:pPr>
      <w:r w:rsidRPr="0015180A">
        <w:rPr>
          <w:rFonts w:ascii="Grundfos TheSans V2" w:hAnsi="Grundfos TheSans V2"/>
          <w:b/>
          <w:bCs/>
          <w:sz w:val="24"/>
          <w:szCs w:val="24"/>
        </w:rPr>
        <w:lastRenderedPageBreak/>
        <w:t>Industry:</w:t>
      </w:r>
      <w:r w:rsidRPr="0015180A">
        <w:rPr>
          <w:rFonts w:ascii="Grundfos TheSans V2" w:hAnsi="Grundfos TheSans V2"/>
          <w:sz w:val="24"/>
          <w:szCs w:val="24"/>
        </w:rPr>
        <w:t xml:space="preserve"> Water stewardship strategies focused on measuring, reducing, reusing and reclaiming water can significantly reduce freshwater withdrawals while maintaining operational performance.</w:t>
      </w:r>
    </w:p>
    <w:p w14:paraId="6604E9A7" w14:textId="77777777" w:rsidR="00E66A46" w:rsidRPr="0015180A" w:rsidRDefault="00E66A46" w:rsidP="00E66A46">
      <w:pPr>
        <w:numPr>
          <w:ilvl w:val="0"/>
          <w:numId w:val="42"/>
        </w:numPr>
        <w:rPr>
          <w:rFonts w:ascii="Grundfos TheSans V2" w:hAnsi="Grundfos TheSans V2"/>
          <w:sz w:val="24"/>
          <w:szCs w:val="24"/>
        </w:rPr>
      </w:pPr>
      <w:r w:rsidRPr="0015180A">
        <w:rPr>
          <w:rFonts w:ascii="Grundfos TheSans V2" w:hAnsi="Grundfos TheSans V2"/>
          <w:b/>
          <w:bCs/>
          <w:sz w:val="24"/>
          <w:szCs w:val="24"/>
        </w:rPr>
        <w:t>Utilities:</w:t>
      </w:r>
      <w:r w:rsidRPr="0015180A">
        <w:rPr>
          <w:rFonts w:ascii="Grundfos TheSans V2" w:hAnsi="Grundfos TheSans V2"/>
          <w:sz w:val="24"/>
          <w:szCs w:val="24"/>
        </w:rPr>
        <w:t xml:space="preserve"> Pressure management and water loss monitoring technologies help utilities recover treated water that would otherwise be lost through leakage.</w:t>
      </w:r>
    </w:p>
    <w:p w14:paraId="65849889" w14:textId="77777777" w:rsidR="00E66A46" w:rsidRPr="0015180A" w:rsidRDefault="00E66A46" w:rsidP="00E66A46">
      <w:pPr>
        <w:rPr>
          <w:rFonts w:ascii="Grundfos TheSans V2" w:hAnsi="Grundfos TheSans V2"/>
          <w:sz w:val="24"/>
          <w:szCs w:val="24"/>
        </w:rPr>
      </w:pPr>
      <w:r w:rsidRPr="0015180A">
        <w:rPr>
          <w:rFonts w:ascii="Grundfos TheSans V2" w:hAnsi="Grundfos TheSans V2"/>
          <w:sz w:val="24"/>
          <w:szCs w:val="24"/>
        </w:rPr>
        <w:t>The paper also highlights the connection between water stewardship and economic development. As communities attract new manufacturing facilities, data centers and energy infrastructure, efficient water management can help support growth while reducing pressure on local water resources.</w:t>
      </w:r>
    </w:p>
    <w:p w14:paraId="2ADCBD0D" w14:textId="77777777" w:rsidR="00E66A46" w:rsidRPr="0015180A" w:rsidRDefault="00E66A46" w:rsidP="00E66A46">
      <w:pPr>
        <w:rPr>
          <w:rFonts w:ascii="Grundfos TheSans V2" w:hAnsi="Grundfos TheSans V2"/>
          <w:b/>
          <w:bCs/>
          <w:sz w:val="24"/>
          <w:szCs w:val="24"/>
        </w:rPr>
      </w:pPr>
      <w:r w:rsidRPr="0015180A">
        <w:rPr>
          <w:rFonts w:ascii="Grundfos TheSans V2" w:hAnsi="Grundfos TheSans V2"/>
          <w:b/>
          <w:bCs/>
          <w:sz w:val="24"/>
          <w:szCs w:val="24"/>
        </w:rPr>
        <w:t>Recommendations for Policymakers and Industry Leaders</w:t>
      </w:r>
    </w:p>
    <w:p w14:paraId="714D6A2B" w14:textId="77777777" w:rsidR="00E66A46" w:rsidRPr="0015180A" w:rsidRDefault="00E66A46" w:rsidP="00E66A46">
      <w:pPr>
        <w:rPr>
          <w:rFonts w:ascii="Grundfos TheSans V2" w:hAnsi="Grundfos TheSans V2"/>
          <w:sz w:val="24"/>
          <w:szCs w:val="24"/>
        </w:rPr>
      </w:pPr>
      <w:r w:rsidRPr="0015180A">
        <w:rPr>
          <w:rFonts w:ascii="Grundfos TheSans V2" w:hAnsi="Grundfos TheSans V2"/>
          <w:sz w:val="24"/>
          <w:szCs w:val="24"/>
        </w:rPr>
        <w:t>The report provides a roadmap for federal, state and local governments, utilities and businesses to accelerate adoption of proven solutions. Key recommendations include:</w:t>
      </w:r>
    </w:p>
    <w:p w14:paraId="41EEFAA4" w14:textId="77777777" w:rsidR="00E66A46" w:rsidRPr="0015180A" w:rsidRDefault="00E66A46" w:rsidP="00E66A46">
      <w:pPr>
        <w:numPr>
          <w:ilvl w:val="0"/>
          <w:numId w:val="43"/>
        </w:numPr>
        <w:rPr>
          <w:rFonts w:ascii="Grundfos TheSans V2" w:hAnsi="Grundfos TheSans V2"/>
          <w:sz w:val="24"/>
          <w:szCs w:val="24"/>
        </w:rPr>
      </w:pPr>
      <w:r w:rsidRPr="0015180A">
        <w:rPr>
          <w:rFonts w:ascii="Grundfos TheSans V2" w:hAnsi="Grundfos TheSans V2"/>
          <w:sz w:val="24"/>
          <w:szCs w:val="24"/>
        </w:rPr>
        <w:t>Expanding consistent reporting and measurement of water loss.</w:t>
      </w:r>
    </w:p>
    <w:p w14:paraId="08124BB6" w14:textId="77777777" w:rsidR="00E66A46" w:rsidRPr="0015180A" w:rsidRDefault="00E66A46" w:rsidP="00E66A46">
      <w:pPr>
        <w:numPr>
          <w:ilvl w:val="0"/>
          <w:numId w:val="43"/>
        </w:numPr>
        <w:rPr>
          <w:rFonts w:ascii="Grundfos TheSans V2" w:hAnsi="Grundfos TheSans V2"/>
          <w:sz w:val="24"/>
          <w:szCs w:val="24"/>
        </w:rPr>
      </w:pPr>
      <w:r w:rsidRPr="0015180A">
        <w:rPr>
          <w:rFonts w:ascii="Grundfos TheSans V2" w:hAnsi="Grundfos TheSans V2"/>
          <w:sz w:val="24"/>
          <w:szCs w:val="24"/>
        </w:rPr>
        <w:t>Directing infrastructure investments toward recoverable water savings.</w:t>
      </w:r>
    </w:p>
    <w:p w14:paraId="40EF2855" w14:textId="77777777" w:rsidR="00E66A46" w:rsidRPr="0015180A" w:rsidRDefault="00E66A46" w:rsidP="00E66A46">
      <w:pPr>
        <w:numPr>
          <w:ilvl w:val="0"/>
          <w:numId w:val="43"/>
        </w:numPr>
        <w:rPr>
          <w:rFonts w:ascii="Grundfos TheSans V2" w:hAnsi="Grundfos TheSans V2"/>
          <w:sz w:val="24"/>
          <w:szCs w:val="24"/>
        </w:rPr>
      </w:pPr>
      <w:r w:rsidRPr="0015180A">
        <w:rPr>
          <w:rFonts w:ascii="Grundfos TheSans V2" w:hAnsi="Grundfos TheSans V2"/>
          <w:sz w:val="24"/>
          <w:szCs w:val="24"/>
        </w:rPr>
        <w:t>Modernizing policies that support safe water reuse.</w:t>
      </w:r>
    </w:p>
    <w:p w14:paraId="31EB2CF5" w14:textId="77777777" w:rsidR="00E66A46" w:rsidRPr="0015180A" w:rsidRDefault="00E66A46" w:rsidP="00E66A46">
      <w:pPr>
        <w:numPr>
          <w:ilvl w:val="0"/>
          <w:numId w:val="43"/>
        </w:numPr>
        <w:rPr>
          <w:rFonts w:ascii="Grundfos TheSans V2" w:hAnsi="Grundfos TheSans V2"/>
          <w:sz w:val="24"/>
          <w:szCs w:val="24"/>
        </w:rPr>
      </w:pPr>
      <w:r w:rsidRPr="0015180A">
        <w:rPr>
          <w:rFonts w:ascii="Grundfos TheSans V2" w:hAnsi="Grundfos TheSans V2"/>
          <w:sz w:val="24"/>
          <w:szCs w:val="24"/>
        </w:rPr>
        <w:t>Encouraging water-smart development standards.</w:t>
      </w:r>
    </w:p>
    <w:p w14:paraId="262871F2" w14:textId="77777777" w:rsidR="00E66A46" w:rsidRPr="0015180A" w:rsidRDefault="00E66A46" w:rsidP="00E66A46">
      <w:pPr>
        <w:numPr>
          <w:ilvl w:val="0"/>
          <w:numId w:val="43"/>
        </w:numPr>
        <w:rPr>
          <w:rFonts w:ascii="Grundfos TheSans V2" w:hAnsi="Grundfos TheSans V2"/>
          <w:sz w:val="24"/>
          <w:szCs w:val="24"/>
        </w:rPr>
      </w:pPr>
      <w:r w:rsidRPr="0015180A">
        <w:rPr>
          <w:rFonts w:ascii="Grundfos TheSans V2" w:hAnsi="Grundfos TheSans V2"/>
          <w:sz w:val="24"/>
          <w:szCs w:val="24"/>
        </w:rPr>
        <w:t>Strengthening incentives for technologies that reduce both water and energy consumption.</w:t>
      </w:r>
    </w:p>
    <w:p w14:paraId="78A81A91" w14:textId="77777777" w:rsidR="00E66A46" w:rsidRPr="0015180A" w:rsidRDefault="00E66A46" w:rsidP="00E66A46">
      <w:pPr>
        <w:rPr>
          <w:rFonts w:ascii="Grundfos TheSans V2" w:hAnsi="Grundfos TheSans V2"/>
          <w:sz w:val="24"/>
          <w:szCs w:val="24"/>
        </w:rPr>
      </w:pPr>
      <w:r w:rsidRPr="0015180A">
        <w:rPr>
          <w:rFonts w:ascii="Grundfos TheSans V2" w:hAnsi="Grundfos TheSans V2"/>
          <w:sz w:val="24"/>
          <w:szCs w:val="24"/>
        </w:rPr>
        <w:t>According to the report, broader adoption of these measures can help communities improve resilience while making existing water supplies go further.</w:t>
      </w:r>
    </w:p>
    <w:p w14:paraId="64101BB8" w14:textId="77777777" w:rsidR="00E66A46" w:rsidRPr="0015180A" w:rsidRDefault="00E66A46" w:rsidP="00E66A46">
      <w:pPr>
        <w:rPr>
          <w:rFonts w:ascii="Grundfos TheSans V2" w:hAnsi="Grundfos TheSans V2"/>
          <w:b/>
          <w:bCs/>
          <w:sz w:val="24"/>
          <w:szCs w:val="24"/>
        </w:rPr>
      </w:pPr>
      <w:r w:rsidRPr="0015180A">
        <w:rPr>
          <w:rFonts w:ascii="Grundfos TheSans V2" w:hAnsi="Grundfos TheSans V2"/>
          <w:b/>
          <w:bCs/>
          <w:sz w:val="24"/>
          <w:szCs w:val="24"/>
        </w:rPr>
        <w:t>Advancing Collective Action on Water Resilience</w:t>
      </w:r>
    </w:p>
    <w:p w14:paraId="5904432D" w14:textId="77777777" w:rsidR="00E66A46" w:rsidRPr="0015180A" w:rsidRDefault="00E66A46" w:rsidP="00E66A46">
      <w:pPr>
        <w:rPr>
          <w:rFonts w:ascii="Grundfos TheSans V2" w:hAnsi="Grundfos TheSans V2"/>
          <w:sz w:val="24"/>
          <w:szCs w:val="24"/>
        </w:rPr>
      </w:pPr>
      <w:r w:rsidRPr="0015180A">
        <w:rPr>
          <w:rFonts w:ascii="Grundfos TheSans V2" w:hAnsi="Grundfos TheSans V2"/>
          <w:sz w:val="24"/>
          <w:szCs w:val="24"/>
        </w:rPr>
        <w:t>The Climate Week NYC roundtable focused on identifying barriers that limit the scale of water efficiency and reuse projects, as well as opportunities for collaboration among governments, utilities, businesses and civil society organizations.</w:t>
      </w:r>
    </w:p>
    <w:p w14:paraId="1391ED51" w14:textId="77777777" w:rsidR="00E66A46" w:rsidRPr="0015180A" w:rsidRDefault="00E66A46" w:rsidP="00E66A46">
      <w:pPr>
        <w:rPr>
          <w:rFonts w:ascii="Grundfos TheSans V2" w:hAnsi="Grundfos TheSans V2"/>
          <w:sz w:val="24"/>
          <w:szCs w:val="24"/>
        </w:rPr>
      </w:pPr>
      <w:r w:rsidRPr="0015180A">
        <w:rPr>
          <w:rFonts w:ascii="Grundfos TheSans V2" w:hAnsi="Grundfos TheSans V2"/>
          <w:sz w:val="24"/>
          <w:szCs w:val="24"/>
        </w:rPr>
        <w:t>The event reflects Grundfos' broader commitment to advancing water resilience through technology, partnerships and collective action. This includes the company's work with the Water Resilience Coalition, support for water stewardship initiatives in priority regions, and its role as a Basin Champion for the Colorado River Basin.</w:t>
      </w:r>
    </w:p>
    <w:p w14:paraId="6049F957" w14:textId="77777777" w:rsidR="00E66A46" w:rsidRPr="0015180A" w:rsidRDefault="00E66A46" w:rsidP="00E66A46">
      <w:pPr>
        <w:rPr>
          <w:rFonts w:ascii="Grundfos TheSans V2" w:hAnsi="Grundfos TheSans V2"/>
          <w:sz w:val="24"/>
          <w:szCs w:val="24"/>
        </w:rPr>
      </w:pPr>
      <w:r w:rsidRPr="0015180A">
        <w:rPr>
          <w:rFonts w:ascii="Grundfos TheSans V2" w:hAnsi="Grundfos TheSans V2"/>
          <w:sz w:val="24"/>
          <w:szCs w:val="24"/>
        </w:rPr>
        <w:t>"Our goal is to move successful projects from isolated examples to standard practice," Sims said. "By aligning policy, investment and innovation, we can make measurable progress in addressing water challenges before they become crises."</w:t>
      </w:r>
    </w:p>
    <w:p w14:paraId="10EF724C" w14:textId="77777777" w:rsidR="00E66A46" w:rsidRPr="0015180A" w:rsidRDefault="00E66A46" w:rsidP="00E66A46">
      <w:pPr>
        <w:rPr>
          <w:rFonts w:ascii="Grundfos TheSans V2" w:hAnsi="Grundfos TheSans V2"/>
          <w:b/>
          <w:bCs/>
          <w:sz w:val="24"/>
          <w:szCs w:val="24"/>
        </w:rPr>
      </w:pPr>
      <w:r w:rsidRPr="0015180A">
        <w:rPr>
          <w:rFonts w:ascii="Grundfos TheSans V2" w:hAnsi="Grundfos TheSans V2"/>
          <w:b/>
          <w:bCs/>
          <w:sz w:val="24"/>
          <w:szCs w:val="24"/>
        </w:rPr>
        <w:t>Read the Report</w:t>
      </w:r>
    </w:p>
    <w:p w14:paraId="4D009278" w14:textId="77777777" w:rsidR="00E66A46" w:rsidRDefault="00E66A46" w:rsidP="00E66A46">
      <w:pPr>
        <w:rPr>
          <w:rFonts w:ascii="Grundfos TheSans V2" w:hAnsi="Grundfos TheSans V2"/>
          <w:sz w:val="24"/>
          <w:szCs w:val="24"/>
        </w:rPr>
      </w:pPr>
      <w:r w:rsidRPr="0015180A">
        <w:rPr>
          <w:rFonts w:ascii="Grundfos TheSans V2" w:hAnsi="Grundfos TheSans V2"/>
          <w:i/>
          <w:iCs/>
          <w:sz w:val="24"/>
          <w:szCs w:val="24"/>
        </w:rPr>
        <w:lastRenderedPageBreak/>
        <w:t>Every Drop Counts: How Efficiency Becomes Supply</w:t>
      </w:r>
      <w:r w:rsidRPr="0015180A">
        <w:rPr>
          <w:rFonts w:ascii="Grundfos TheSans V2" w:hAnsi="Grundfos TheSans V2"/>
          <w:sz w:val="24"/>
          <w:szCs w:val="24"/>
        </w:rPr>
        <w:t xml:space="preserve"> is available at:</w:t>
      </w:r>
    </w:p>
    <w:p w14:paraId="29FFDCA9" w14:textId="77777777" w:rsidR="00E66A46" w:rsidRDefault="00E66A46" w:rsidP="00E66A46">
      <w:pPr>
        <w:rPr>
          <w:color w:val="000000"/>
        </w:rPr>
      </w:pPr>
      <w:hyperlink r:id="rId11" w:history="1">
        <w:r>
          <w:rPr>
            <w:rStyle w:val="Hyperlink"/>
          </w:rPr>
          <w:t>https://www.grundfos.com/media/white-papers-and-policy-papers/every-drop-counts--how-efficiency-becomes-supply-in-the-us</w:t>
        </w:r>
      </w:hyperlink>
      <w:r>
        <w:rPr>
          <w:color w:val="000000"/>
        </w:rPr>
        <w:t> |</w:t>
      </w:r>
    </w:p>
    <w:p w14:paraId="57C11BC8" w14:textId="77777777" w:rsidR="00E66A46" w:rsidRPr="0015180A" w:rsidRDefault="00E66A46" w:rsidP="00E66A46">
      <w:pPr>
        <w:rPr>
          <w:rFonts w:ascii="Grundfos TheSans V2" w:hAnsi="Grundfos TheSans V2"/>
          <w:sz w:val="24"/>
          <w:szCs w:val="24"/>
        </w:rPr>
      </w:pPr>
    </w:p>
    <w:p w14:paraId="2653A013" w14:textId="77777777" w:rsidR="00E66A46" w:rsidRPr="0015180A" w:rsidRDefault="00E66A46" w:rsidP="00E66A46">
      <w:pPr>
        <w:rPr>
          <w:rFonts w:ascii="Grundfos TheSans V2" w:hAnsi="Grundfos TheSans V2"/>
          <w:b/>
          <w:bCs/>
          <w:sz w:val="24"/>
          <w:szCs w:val="24"/>
        </w:rPr>
      </w:pPr>
      <w:r w:rsidRPr="0015180A">
        <w:rPr>
          <w:rFonts w:ascii="Grundfos TheSans V2" w:hAnsi="Grundfos TheSans V2"/>
          <w:b/>
          <w:bCs/>
          <w:sz w:val="24"/>
          <w:szCs w:val="24"/>
        </w:rPr>
        <w:t>About Grundfos</w:t>
      </w:r>
    </w:p>
    <w:p w14:paraId="78300220" w14:textId="62489B50" w:rsidR="00AE1299" w:rsidRDefault="00E66A46" w:rsidP="00486858">
      <w:pPr>
        <w:jc w:val="both"/>
      </w:pPr>
      <w:r w:rsidRPr="0015180A">
        <w:rPr>
          <w:rFonts w:ascii="Grundfos TheSans V2" w:hAnsi="Grundfos TheSans V2"/>
          <w:sz w:val="24"/>
          <w:szCs w:val="24"/>
        </w:rPr>
        <w:t>Grundfos is a global leader in advanced water technology and pump solutions. Founded in Denmark in 1945, the company develops energy-efficient technologies and intelligent water solutions that help customers move, manage and treat water. Through innovation and partnerships, Grundfos is committed to helping solve the world's water and climate challenges while improving quality of life for people everywhere.</w:t>
      </w:r>
      <w:r w:rsidR="00D61746">
        <w:t xml:space="preserve"> </w:t>
      </w:r>
      <w:permEnd w:id="1364140959"/>
    </w:p>
    <w:p w14:paraId="7C546F5E" w14:textId="77777777" w:rsidR="00AE1299" w:rsidRDefault="00AE1299" w:rsidP="00486858">
      <w:pPr>
        <w:jc w:val="both"/>
      </w:pPr>
    </w:p>
    <w:tbl>
      <w:tblPr>
        <w:tblStyle w:val="TableGrid"/>
        <w:tblW w:w="9634" w:type="dxa"/>
        <w:tblLook w:val="04A0" w:firstRow="1" w:lastRow="0" w:firstColumn="1" w:lastColumn="0" w:noHBand="0" w:noVBand="1"/>
      </w:tblPr>
      <w:tblGrid>
        <w:gridCol w:w="6232"/>
        <w:gridCol w:w="3402"/>
      </w:tblGrid>
      <w:tr w:rsidR="00AE1299" w14:paraId="6152CECC" w14:textId="77777777" w:rsidTr="00486858">
        <w:trPr>
          <w:trHeight w:val="636"/>
        </w:trPr>
        <w:tc>
          <w:tcPr>
            <w:tcW w:w="9634" w:type="dxa"/>
            <w:gridSpan w:val="2"/>
            <w:shd w:val="clear" w:color="auto" w:fill="11497B" w:themeFill="accent1"/>
            <w:vAlign w:val="center"/>
          </w:tcPr>
          <w:p w14:paraId="64CE81B4" w14:textId="4B7E401C" w:rsidR="00AE1299" w:rsidRPr="00AE1299" w:rsidRDefault="00AE1299" w:rsidP="00486858">
            <w:pPr>
              <w:spacing w:after="0"/>
              <w:jc w:val="both"/>
              <w:rPr>
                <w:b/>
                <w:bCs/>
                <w:color w:val="FFFFFF" w:themeColor="background1"/>
              </w:rPr>
            </w:pPr>
            <w:r>
              <w:rPr>
                <w:b/>
                <w:bCs/>
                <w:color w:val="FFFFFF" w:themeColor="background1"/>
              </w:rPr>
              <w:t>QUICK LINKS – Get the latest news and information from Grundfos.</w:t>
            </w:r>
          </w:p>
        </w:tc>
      </w:tr>
      <w:tr w:rsidR="00AE1299" w14:paraId="1CB9977C" w14:textId="77777777" w:rsidTr="00486858">
        <w:trPr>
          <w:trHeight w:val="636"/>
        </w:trPr>
        <w:tc>
          <w:tcPr>
            <w:tcW w:w="6232" w:type="dxa"/>
            <w:vAlign w:val="center"/>
          </w:tcPr>
          <w:p w14:paraId="40D46457" w14:textId="27E5EBB4" w:rsidR="00AE1299" w:rsidRDefault="00AE1299" w:rsidP="00486858">
            <w:pPr>
              <w:spacing w:after="0"/>
              <w:jc w:val="both"/>
            </w:pPr>
            <w:r>
              <w:t>Read more of the latest updates from Grundfos.</w:t>
            </w:r>
          </w:p>
        </w:tc>
        <w:tc>
          <w:tcPr>
            <w:tcW w:w="3402" w:type="dxa"/>
            <w:vAlign w:val="center"/>
          </w:tcPr>
          <w:p w14:paraId="2F1A3D97" w14:textId="77777777" w:rsidR="00AE1299" w:rsidRDefault="00AE1299" w:rsidP="00486858">
            <w:pPr>
              <w:spacing w:after="0"/>
              <w:jc w:val="both"/>
            </w:pPr>
            <w:hyperlink r:id="rId12" w:history="1">
              <w:r w:rsidRPr="003A6E3C">
                <w:rPr>
                  <w:rStyle w:val="Hyperlink"/>
                </w:rPr>
                <w:t>www.grundfos.com/news</w:t>
              </w:r>
            </w:hyperlink>
          </w:p>
        </w:tc>
      </w:tr>
      <w:tr w:rsidR="00AE1299" w14:paraId="17CF6D07" w14:textId="77777777" w:rsidTr="00486858">
        <w:trPr>
          <w:trHeight w:val="636"/>
        </w:trPr>
        <w:tc>
          <w:tcPr>
            <w:tcW w:w="6232" w:type="dxa"/>
            <w:vAlign w:val="center"/>
          </w:tcPr>
          <w:p w14:paraId="16F52A6B" w14:textId="20083ACA" w:rsidR="00AE1299" w:rsidRDefault="00AE1299" w:rsidP="00486858">
            <w:pPr>
              <w:spacing w:after="0"/>
              <w:jc w:val="both"/>
            </w:pPr>
            <w:r>
              <w:t>Access our press-kit, or download images of Grundfos people, locations and products</w:t>
            </w:r>
            <w:r w:rsidR="00703E04">
              <w:t>.</w:t>
            </w:r>
          </w:p>
        </w:tc>
        <w:tc>
          <w:tcPr>
            <w:tcW w:w="3402" w:type="dxa"/>
            <w:vAlign w:val="center"/>
          </w:tcPr>
          <w:p w14:paraId="56691174" w14:textId="77777777" w:rsidR="00AE1299" w:rsidRDefault="00AE1299" w:rsidP="00486858">
            <w:pPr>
              <w:spacing w:after="0"/>
              <w:jc w:val="both"/>
            </w:pPr>
            <w:hyperlink r:id="rId13" w:history="1">
              <w:r w:rsidRPr="003A6E3C">
                <w:rPr>
                  <w:rStyle w:val="Hyperlink"/>
                </w:rPr>
                <w:t>www.grundfos.com/press-kit</w:t>
              </w:r>
            </w:hyperlink>
          </w:p>
        </w:tc>
      </w:tr>
      <w:tr w:rsidR="00AE1299" w14:paraId="54384B73" w14:textId="77777777" w:rsidTr="00486858">
        <w:trPr>
          <w:trHeight w:val="636"/>
        </w:trPr>
        <w:tc>
          <w:tcPr>
            <w:tcW w:w="6232" w:type="dxa"/>
            <w:vAlign w:val="center"/>
          </w:tcPr>
          <w:p w14:paraId="0B966FE0" w14:textId="7CC9D6F2" w:rsidR="00AE1299" w:rsidRDefault="00AE1299" w:rsidP="00486858">
            <w:pPr>
              <w:spacing w:after="0"/>
              <w:jc w:val="both"/>
            </w:pPr>
            <w:r>
              <w:t>Get in touch! We’re happy to help with questions and enquiries from journalists and the media.</w:t>
            </w:r>
            <w:permStart w:id="1949984327" w:edGrp="everyone"/>
            <w:permEnd w:id="1949984327"/>
          </w:p>
        </w:tc>
        <w:tc>
          <w:tcPr>
            <w:tcW w:w="3402" w:type="dxa"/>
            <w:vAlign w:val="center"/>
          </w:tcPr>
          <w:p w14:paraId="254E9F0C" w14:textId="77777777" w:rsidR="00AE1299" w:rsidRDefault="00AE1299" w:rsidP="00486858">
            <w:pPr>
              <w:spacing w:after="0"/>
              <w:jc w:val="both"/>
            </w:pPr>
            <w:hyperlink r:id="rId14" w:history="1">
              <w:r w:rsidRPr="003A6E3C">
                <w:rPr>
                  <w:rStyle w:val="Hyperlink"/>
                </w:rPr>
                <w:t>www.grundfos.com/press-office</w:t>
              </w:r>
            </w:hyperlink>
          </w:p>
        </w:tc>
      </w:tr>
    </w:tbl>
    <w:p w14:paraId="00BD4AD0" w14:textId="77777777" w:rsidR="000C280B" w:rsidRPr="00FB4636" w:rsidRDefault="000C280B" w:rsidP="00486858">
      <w:pPr>
        <w:jc w:val="both"/>
      </w:pPr>
    </w:p>
    <w:sectPr w:rsidR="000C280B" w:rsidRPr="00FB4636" w:rsidSect="00D3169A">
      <w:headerReference w:type="default" r:id="rId15"/>
      <w:footerReference w:type="default" r:id="rId16"/>
      <w:pgSz w:w="11906" w:h="16838" w:code="9"/>
      <w:pgMar w:top="1814" w:right="1134" w:bottom="1531" w:left="1134" w:header="93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E778A" w14:textId="77777777" w:rsidR="00454B2E" w:rsidRDefault="00454B2E" w:rsidP="00924CFE">
      <w:r>
        <w:separator/>
      </w:r>
    </w:p>
  </w:endnote>
  <w:endnote w:type="continuationSeparator" w:id="0">
    <w:p w14:paraId="72D31A93" w14:textId="77777777" w:rsidR="00454B2E" w:rsidRDefault="00454B2E" w:rsidP="00924C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Grundfos TheSans V2">
    <w:panose1 w:val="020B0503040303060204"/>
    <w:charset w:val="00"/>
    <w:family w:val="swiss"/>
    <w:pitch w:val="variable"/>
    <w:sig w:usb0="A00002FF" w:usb1="500064BB" w:usb2="00000000" w:usb3="00000000" w:csb0="0000009F" w:csb1="00000000"/>
  </w:font>
  <w:font w:name="Yu Mincho">
    <w:panose1 w:val="02020400000000000000"/>
    <w:charset w:val="80"/>
    <w:family w:val="roman"/>
    <w:pitch w:val="variable"/>
    <w:sig w:usb0="800002E7" w:usb1="2AC7FCFF" w:usb2="00000012" w:usb3="00000000" w:csb0="0002009F" w:csb1="00000000"/>
  </w:font>
  <w:font w:name="Figtree">
    <w:altName w:val="Calibri"/>
    <w:charset w:val="00"/>
    <w:family w:val="auto"/>
    <w:pitch w:val="default"/>
  </w:font>
  <w:font w:name=".SFUI-Regular">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3126771"/>
      <w:docPartObj>
        <w:docPartGallery w:val="Page Numbers (Bottom of Page)"/>
        <w:docPartUnique/>
      </w:docPartObj>
    </w:sdtPr>
    <w:sdtEndPr>
      <w:rPr>
        <w:noProof/>
      </w:rPr>
    </w:sdtEndPr>
    <w:sdtContent>
      <w:p w14:paraId="2D136AD3" w14:textId="1D39289F" w:rsidR="00CA0551" w:rsidRDefault="00CA055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4A5F587" w14:textId="77777777" w:rsidR="00924CFE" w:rsidRDefault="00924CFE" w:rsidP="00B964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9DB76" w14:textId="77777777" w:rsidR="00454B2E" w:rsidRDefault="00454B2E" w:rsidP="00924CFE">
      <w:r>
        <w:separator/>
      </w:r>
    </w:p>
  </w:footnote>
  <w:footnote w:type="continuationSeparator" w:id="0">
    <w:p w14:paraId="72427B26" w14:textId="77777777" w:rsidR="00454B2E" w:rsidRDefault="00454B2E" w:rsidP="00924C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284" w:type="dxa"/>
        <w:right w:w="0" w:type="dxa"/>
      </w:tblCellMar>
      <w:tblLook w:val="04A0" w:firstRow="1" w:lastRow="0" w:firstColumn="1" w:lastColumn="0" w:noHBand="0" w:noVBand="1"/>
    </w:tblPr>
    <w:tblGrid>
      <w:gridCol w:w="5667"/>
      <w:gridCol w:w="3961"/>
    </w:tblGrid>
    <w:tr w:rsidR="002346BB" w:rsidRPr="00235504" w14:paraId="74A568E6" w14:textId="77777777" w:rsidTr="00693848">
      <w:tc>
        <w:tcPr>
          <w:tcW w:w="5667" w:type="dxa"/>
        </w:tcPr>
        <w:p w14:paraId="5EFD65F3" w14:textId="77777777" w:rsidR="00693848" w:rsidRDefault="00693848" w:rsidP="00693848">
          <w:pPr>
            <w:pStyle w:val="Footer"/>
          </w:pPr>
          <w:r>
            <w:t xml:space="preserve"> </w:t>
          </w:r>
        </w:p>
        <w:p w14:paraId="51C4E7A4" w14:textId="1B6506F9" w:rsidR="00AE1299" w:rsidRPr="00257B46" w:rsidRDefault="00AE1299" w:rsidP="00693848">
          <w:pPr>
            <w:pStyle w:val="Footer"/>
          </w:pPr>
          <w:r>
            <w:t>Grundfos News text download</w:t>
          </w:r>
        </w:p>
      </w:tc>
      <w:tc>
        <w:tcPr>
          <w:tcW w:w="3961" w:type="dxa"/>
        </w:tcPr>
        <w:p w14:paraId="09F7708C" w14:textId="77777777" w:rsidR="002346BB" w:rsidRPr="00257B46" w:rsidRDefault="002346BB" w:rsidP="00693848">
          <w:pPr>
            <w:pStyle w:val="Footer"/>
            <w:jc w:val="right"/>
          </w:pPr>
          <w:r w:rsidRPr="00257B46">
            <w:rPr>
              <w:noProof/>
            </w:rPr>
            <w:drawing>
              <wp:inline distT="0" distB="0" distL="0" distR="0" wp14:anchorId="59B789C6" wp14:editId="712D4DFD">
                <wp:extent cx="1807200" cy="248400"/>
                <wp:effectExtent l="0" t="0" r="3175" b="0"/>
                <wp:docPr id="4" name="Picture 4" descr="Log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07200" cy="248400"/>
                        </a:xfrm>
                        <a:prstGeom prst="rect">
                          <a:avLst/>
                        </a:prstGeom>
                      </pic:spPr>
                    </pic:pic>
                  </a:graphicData>
                </a:graphic>
              </wp:inline>
            </w:drawing>
          </w:r>
        </w:p>
      </w:tc>
    </w:tr>
  </w:tbl>
  <w:p w14:paraId="08B628AF" w14:textId="77777777" w:rsidR="000C56AA" w:rsidRPr="00932D52" w:rsidRDefault="000C56AA" w:rsidP="00D9738E">
    <w:pPr>
      <w:pStyle w:val="Header"/>
      <w:tabs>
        <w:tab w:val="clear" w:pos="4986"/>
        <w:tab w:val="clear" w:pos="9972"/>
        <w:tab w:val="left" w:pos="3726"/>
      </w:tabs>
      <w:rPr>
        <w:color w:val="11497B" w:themeColor="accent1"/>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E809F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ECCF7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BBE8E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3FCE3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706B7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F44DF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4EEA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5D2C1BE"/>
    <w:lvl w:ilvl="0">
      <w:start w:val="1"/>
      <w:numFmt w:val="bullet"/>
      <w:lvlText w:val=""/>
      <w:lvlJc w:val="left"/>
      <w:pPr>
        <w:tabs>
          <w:tab w:val="num" w:pos="720"/>
        </w:tabs>
        <w:ind w:left="720" w:hanging="363"/>
      </w:pPr>
      <w:rPr>
        <w:rFonts w:ascii="Symbol" w:hAnsi="Symbol" w:hint="default"/>
      </w:rPr>
    </w:lvl>
  </w:abstractNum>
  <w:abstractNum w:abstractNumId="8" w15:restartNumberingAfterBreak="0">
    <w:nsid w:val="FFFFFF88"/>
    <w:multiLevelType w:val="singleLevel"/>
    <w:tmpl w:val="3EB4124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DDC1BA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8C6B64"/>
    <w:multiLevelType w:val="hybridMultilevel"/>
    <w:tmpl w:val="4BFEB25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16DA6FA4"/>
    <w:multiLevelType w:val="hybridMultilevel"/>
    <w:tmpl w:val="7226BE2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232164F1"/>
    <w:multiLevelType w:val="multilevel"/>
    <w:tmpl w:val="824AF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3E6BC0"/>
    <w:multiLevelType w:val="multilevel"/>
    <w:tmpl w:val="F1A8737A"/>
    <w:numStyleLink w:val="GFstylebullet"/>
  </w:abstractNum>
  <w:abstractNum w:abstractNumId="14" w15:restartNumberingAfterBreak="0">
    <w:nsid w:val="38555D5A"/>
    <w:multiLevelType w:val="multilevel"/>
    <w:tmpl w:val="2DEE5A28"/>
    <w:lvl w:ilvl="0">
      <w:start w:val="1"/>
      <w:numFmt w:val="decimal"/>
      <w:lvlText w:val="%1."/>
      <w:lvlJc w:val="left"/>
      <w:pPr>
        <w:ind w:left="720" w:hanging="360"/>
      </w:pPr>
      <w:rPr>
        <w:color w:val="174D7E"/>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15:restartNumberingAfterBreak="0">
    <w:nsid w:val="3A1B67D0"/>
    <w:multiLevelType w:val="multilevel"/>
    <w:tmpl w:val="A90CC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532E6B"/>
    <w:multiLevelType w:val="multilevel"/>
    <w:tmpl w:val="D5D4A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507FA4"/>
    <w:multiLevelType w:val="hybridMultilevel"/>
    <w:tmpl w:val="938ABDEA"/>
    <w:lvl w:ilvl="0" w:tplc="309AE094">
      <w:start w:val="1"/>
      <w:numFmt w:val="bullet"/>
      <w:lvlText w:val="•"/>
      <w:lvlJc w:val="left"/>
      <w:pPr>
        <w:ind w:left="720" w:hanging="360"/>
      </w:pPr>
      <w:rPr>
        <w:rFonts w:ascii="Calibri" w:hAnsi="Calibri" w:hint="default"/>
        <w:color w:val="11497B"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595780"/>
    <w:multiLevelType w:val="multilevel"/>
    <w:tmpl w:val="F1A8737A"/>
    <w:styleLink w:val="GFstylebullet"/>
    <w:lvl w:ilvl="0">
      <w:start w:val="1"/>
      <w:numFmt w:val="bullet"/>
      <w:pStyle w:val="ListBullet"/>
      <w:lvlText w:val="•"/>
      <w:lvlJc w:val="left"/>
      <w:pPr>
        <w:ind w:left="360" w:hanging="360"/>
      </w:pPr>
      <w:rPr>
        <w:rFonts w:ascii="Calibri" w:hAnsi="Calibri" w:hint="default"/>
        <w:color w:val="11497B" w:themeColor="accent1"/>
      </w:rPr>
    </w:lvl>
    <w:lvl w:ilvl="1">
      <w:start w:val="1"/>
      <w:numFmt w:val="bullet"/>
      <w:lvlText w:val="•"/>
      <w:lvlJc w:val="left"/>
      <w:pPr>
        <w:ind w:left="714" w:hanging="354"/>
      </w:pPr>
      <w:rPr>
        <w:rFonts w:ascii="Calibri" w:hAnsi="Calibri" w:hint="default"/>
        <w:color w:val="11497B" w:themeColor="accent1"/>
      </w:rPr>
    </w:lvl>
    <w:lvl w:ilvl="2">
      <w:start w:val="1"/>
      <w:numFmt w:val="bullet"/>
      <w:lvlText w:val="•"/>
      <w:lvlJc w:val="left"/>
      <w:pPr>
        <w:ind w:left="1072" w:hanging="358"/>
      </w:pPr>
      <w:rPr>
        <w:rFonts w:ascii="Calibri" w:hAnsi="Calibri" w:hint="default"/>
        <w:color w:val="11497B" w:themeColor="accent1"/>
      </w:rPr>
    </w:lvl>
    <w:lvl w:ilvl="3">
      <w:start w:val="1"/>
      <w:numFmt w:val="bullet"/>
      <w:lvlText w:val="•"/>
      <w:lvlJc w:val="left"/>
      <w:pPr>
        <w:ind w:left="1429" w:hanging="357"/>
      </w:pPr>
      <w:rPr>
        <w:rFonts w:ascii="Calibri" w:hAnsi="Calibri" w:hint="default"/>
        <w:color w:val="11497B" w:themeColor="accent1"/>
      </w:rPr>
    </w:lvl>
    <w:lvl w:ilvl="4">
      <w:start w:val="1"/>
      <w:numFmt w:val="bullet"/>
      <w:lvlText w:val="•"/>
      <w:lvlJc w:val="left"/>
      <w:pPr>
        <w:ind w:left="1786" w:hanging="357"/>
      </w:pPr>
      <w:rPr>
        <w:rFonts w:ascii="Calibri" w:hAnsi="Calibri" w:hint="default"/>
        <w:color w:val="11497B" w:themeColor="accent1"/>
      </w:rPr>
    </w:lvl>
    <w:lvl w:ilvl="5">
      <w:start w:val="1"/>
      <w:numFmt w:val="bullet"/>
      <w:lvlText w:val="•"/>
      <w:lvlJc w:val="left"/>
      <w:pPr>
        <w:ind w:left="2143" w:hanging="357"/>
      </w:pPr>
      <w:rPr>
        <w:rFonts w:ascii="Calibri" w:hAnsi="Calibri" w:hint="default"/>
        <w:color w:val="11497B" w:themeColor="accent1"/>
      </w:rPr>
    </w:lvl>
    <w:lvl w:ilvl="6">
      <w:start w:val="1"/>
      <w:numFmt w:val="bullet"/>
      <w:lvlText w:val="•"/>
      <w:lvlJc w:val="left"/>
      <w:pPr>
        <w:ind w:left="2500" w:hanging="357"/>
      </w:pPr>
      <w:rPr>
        <w:rFonts w:ascii="Calibri" w:hAnsi="Calibri" w:hint="default"/>
        <w:color w:val="11497B" w:themeColor="accent1"/>
      </w:rPr>
    </w:lvl>
    <w:lvl w:ilvl="7">
      <w:start w:val="1"/>
      <w:numFmt w:val="bullet"/>
      <w:lvlText w:val="•"/>
      <w:lvlJc w:val="left"/>
      <w:pPr>
        <w:ind w:left="2858" w:hanging="358"/>
      </w:pPr>
      <w:rPr>
        <w:rFonts w:ascii="Calibri" w:hAnsi="Calibri" w:hint="default"/>
        <w:color w:val="11497B" w:themeColor="accent1"/>
      </w:rPr>
    </w:lvl>
    <w:lvl w:ilvl="8">
      <w:start w:val="1"/>
      <w:numFmt w:val="bullet"/>
      <w:lvlText w:val="•"/>
      <w:lvlJc w:val="left"/>
      <w:pPr>
        <w:ind w:left="3215" w:hanging="357"/>
      </w:pPr>
      <w:rPr>
        <w:rFonts w:ascii="Calibri" w:hAnsi="Calibri" w:hint="default"/>
        <w:color w:val="11497B" w:themeColor="accent1"/>
      </w:rPr>
    </w:lvl>
  </w:abstractNum>
  <w:abstractNum w:abstractNumId="19" w15:restartNumberingAfterBreak="0">
    <w:nsid w:val="519A4353"/>
    <w:multiLevelType w:val="hybridMultilevel"/>
    <w:tmpl w:val="1CCC450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5FB9787E"/>
    <w:multiLevelType w:val="hybridMultilevel"/>
    <w:tmpl w:val="7512C1B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7B1E047E"/>
    <w:multiLevelType w:val="hybridMultilevel"/>
    <w:tmpl w:val="F4448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F122EFC"/>
    <w:multiLevelType w:val="multilevel"/>
    <w:tmpl w:val="83D2877A"/>
    <w:lvl w:ilvl="0">
      <w:start w:val="1"/>
      <w:numFmt w:val="decimal"/>
      <w:pStyle w:val="ListNumber"/>
      <w:lvlText w:val="%1."/>
      <w:lvlJc w:val="left"/>
      <w:pPr>
        <w:ind w:left="360" w:hanging="360"/>
      </w:pPr>
      <w:rPr>
        <w:rFonts w:asciiTheme="minorHAnsi" w:hAnsiTheme="minorHAnsi" w:hint="default"/>
      </w:rPr>
    </w:lvl>
    <w:lvl w:ilvl="1">
      <w:start w:val="1"/>
      <w:numFmt w:val="decimal"/>
      <w:lvlText w:val="%2."/>
      <w:lvlJc w:val="left"/>
      <w:pPr>
        <w:ind w:left="714" w:hanging="354"/>
      </w:pPr>
      <w:rPr>
        <w:rFonts w:hint="default"/>
      </w:rPr>
    </w:lvl>
    <w:lvl w:ilvl="2">
      <w:start w:val="1"/>
      <w:numFmt w:val="decimal"/>
      <w:lvlText w:val="%3."/>
      <w:lvlJc w:val="left"/>
      <w:pPr>
        <w:ind w:left="1072" w:hanging="358"/>
      </w:pPr>
      <w:rPr>
        <w:rFonts w:hint="default"/>
      </w:rPr>
    </w:lvl>
    <w:lvl w:ilvl="3">
      <w:start w:val="1"/>
      <w:numFmt w:val="decimal"/>
      <w:lvlText w:val="%4."/>
      <w:lvlJc w:val="left"/>
      <w:pPr>
        <w:ind w:left="1429" w:hanging="357"/>
      </w:pPr>
      <w:rPr>
        <w:rFonts w:hint="default"/>
      </w:rPr>
    </w:lvl>
    <w:lvl w:ilvl="4">
      <w:start w:val="1"/>
      <w:numFmt w:val="decimal"/>
      <w:lvlText w:val="%5."/>
      <w:lvlJc w:val="left"/>
      <w:pPr>
        <w:ind w:left="1786" w:hanging="357"/>
      </w:pPr>
      <w:rPr>
        <w:rFonts w:hint="default"/>
      </w:rPr>
    </w:lvl>
    <w:lvl w:ilvl="5">
      <w:start w:val="1"/>
      <w:numFmt w:val="decimal"/>
      <w:lvlText w:val="%6."/>
      <w:lvlJc w:val="left"/>
      <w:pPr>
        <w:ind w:left="2143" w:hanging="357"/>
      </w:pPr>
      <w:rPr>
        <w:rFonts w:hint="default"/>
      </w:rPr>
    </w:lvl>
    <w:lvl w:ilvl="6">
      <w:start w:val="1"/>
      <w:numFmt w:val="decimal"/>
      <w:lvlText w:val="%7."/>
      <w:lvlJc w:val="left"/>
      <w:pPr>
        <w:ind w:left="2500" w:hanging="357"/>
      </w:pPr>
      <w:rPr>
        <w:rFonts w:hint="default"/>
      </w:rPr>
    </w:lvl>
    <w:lvl w:ilvl="7">
      <w:start w:val="1"/>
      <w:numFmt w:val="decimal"/>
      <w:lvlText w:val="%8."/>
      <w:lvlJc w:val="left"/>
      <w:pPr>
        <w:ind w:left="2858" w:hanging="358"/>
      </w:pPr>
      <w:rPr>
        <w:rFonts w:hint="default"/>
      </w:rPr>
    </w:lvl>
    <w:lvl w:ilvl="8">
      <w:start w:val="1"/>
      <w:numFmt w:val="decimal"/>
      <w:lvlText w:val="%9."/>
      <w:lvlJc w:val="left"/>
      <w:pPr>
        <w:ind w:left="3215" w:hanging="357"/>
      </w:pPr>
      <w:rPr>
        <w:rFonts w:hint="default"/>
      </w:rPr>
    </w:lvl>
  </w:abstractNum>
  <w:num w:numId="1" w16cid:durableId="1357805153">
    <w:abstractNumId w:val="9"/>
  </w:num>
  <w:num w:numId="2" w16cid:durableId="936326077">
    <w:abstractNumId w:val="7"/>
  </w:num>
  <w:num w:numId="3" w16cid:durableId="1859077160">
    <w:abstractNumId w:val="6"/>
  </w:num>
  <w:num w:numId="4" w16cid:durableId="2038041199">
    <w:abstractNumId w:val="5"/>
  </w:num>
  <w:num w:numId="5" w16cid:durableId="962075580">
    <w:abstractNumId w:val="4"/>
  </w:num>
  <w:num w:numId="6" w16cid:durableId="2101370735">
    <w:abstractNumId w:val="8"/>
  </w:num>
  <w:num w:numId="7" w16cid:durableId="1507667515">
    <w:abstractNumId w:val="3"/>
  </w:num>
  <w:num w:numId="8" w16cid:durableId="361826197">
    <w:abstractNumId w:val="2"/>
  </w:num>
  <w:num w:numId="9" w16cid:durableId="178593317">
    <w:abstractNumId w:val="1"/>
  </w:num>
  <w:num w:numId="10" w16cid:durableId="1638102382">
    <w:abstractNumId w:val="0"/>
  </w:num>
  <w:num w:numId="11" w16cid:durableId="1109012793">
    <w:abstractNumId w:val="9"/>
  </w:num>
  <w:num w:numId="12" w16cid:durableId="69431071">
    <w:abstractNumId w:val="8"/>
  </w:num>
  <w:num w:numId="13" w16cid:durableId="1217399472">
    <w:abstractNumId w:val="7"/>
  </w:num>
  <w:num w:numId="14" w16cid:durableId="2108959498">
    <w:abstractNumId w:val="9"/>
  </w:num>
  <w:num w:numId="15" w16cid:durableId="1062365279">
    <w:abstractNumId w:val="8"/>
  </w:num>
  <w:num w:numId="16" w16cid:durableId="1379742205">
    <w:abstractNumId w:val="7"/>
  </w:num>
  <w:num w:numId="17" w16cid:durableId="39062356">
    <w:abstractNumId w:val="9"/>
  </w:num>
  <w:num w:numId="18" w16cid:durableId="2043019600">
    <w:abstractNumId w:val="8"/>
  </w:num>
  <w:num w:numId="19" w16cid:durableId="2122141233">
    <w:abstractNumId w:val="7"/>
  </w:num>
  <w:num w:numId="20" w16cid:durableId="1879274875">
    <w:abstractNumId w:val="9"/>
  </w:num>
  <w:num w:numId="21" w16cid:durableId="1583638617">
    <w:abstractNumId w:val="8"/>
  </w:num>
  <w:num w:numId="22" w16cid:durableId="1541742170">
    <w:abstractNumId w:val="7"/>
  </w:num>
  <w:num w:numId="23" w16cid:durableId="469173019">
    <w:abstractNumId w:val="17"/>
  </w:num>
  <w:num w:numId="24" w16cid:durableId="68770301">
    <w:abstractNumId w:val="21"/>
  </w:num>
  <w:num w:numId="25" w16cid:durableId="752699051">
    <w:abstractNumId w:val="18"/>
  </w:num>
  <w:num w:numId="26" w16cid:durableId="372120612">
    <w:abstractNumId w:val="13"/>
  </w:num>
  <w:num w:numId="27" w16cid:durableId="748505568">
    <w:abstractNumId w:val="22"/>
  </w:num>
  <w:num w:numId="28" w16cid:durableId="2102293284">
    <w:abstractNumId w:val="22"/>
  </w:num>
  <w:num w:numId="29" w16cid:durableId="104156824">
    <w:abstractNumId w:val="18"/>
  </w:num>
  <w:num w:numId="30" w16cid:durableId="976642295">
    <w:abstractNumId w:val="13"/>
  </w:num>
  <w:num w:numId="31" w16cid:durableId="1367218747">
    <w:abstractNumId w:val="22"/>
  </w:num>
  <w:num w:numId="32" w16cid:durableId="187836470">
    <w:abstractNumId w:val="22"/>
  </w:num>
  <w:num w:numId="33" w16cid:durableId="384180539">
    <w:abstractNumId w:val="13"/>
  </w:num>
  <w:num w:numId="34" w16cid:durableId="37051309">
    <w:abstractNumId w:val="22"/>
  </w:num>
  <w:num w:numId="35" w16cid:durableId="1360811746">
    <w:abstractNumId w:val="22"/>
  </w:num>
  <w:num w:numId="36" w16cid:durableId="1939099485">
    <w:abstractNumId w:val="14"/>
  </w:num>
  <w:num w:numId="37" w16cid:durableId="944653139">
    <w:abstractNumId w:val="11"/>
  </w:num>
  <w:num w:numId="38" w16cid:durableId="1480263566">
    <w:abstractNumId w:val="12"/>
  </w:num>
  <w:num w:numId="39" w16cid:durableId="1525710765">
    <w:abstractNumId w:val="20"/>
  </w:num>
  <w:num w:numId="40" w16cid:durableId="1688867170">
    <w:abstractNumId w:val="10"/>
  </w:num>
  <w:num w:numId="41" w16cid:durableId="64960670">
    <w:abstractNumId w:val="19"/>
  </w:num>
  <w:num w:numId="42" w16cid:durableId="734206878">
    <w:abstractNumId w:val="15"/>
  </w:num>
  <w:num w:numId="43" w16cid:durableId="29970028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edit="readOnly" w:enforcement="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299"/>
    <w:rsid w:val="000008CE"/>
    <w:rsid w:val="00003A91"/>
    <w:rsid w:val="000078D1"/>
    <w:rsid w:val="00012EB4"/>
    <w:rsid w:val="00014083"/>
    <w:rsid w:val="00014CF7"/>
    <w:rsid w:val="00024416"/>
    <w:rsid w:val="00027C2E"/>
    <w:rsid w:val="00040B29"/>
    <w:rsid w:val="000428C5"/>
    <w:rsid w:val="000464BF"/>
    <w:rsid w:val="00053620"/>
    <w:rsid w:val="00057D36"/>
    <w:rsid w:val="0006000C"/>
    <w:rsid w:val="00064964"/>
    <w:rsid w:val="00064DA0"/>
    <w:rsid w:val="0007186E"/>
    <w:rsid w:val="00072995"/>
    <w:rsid w:val="00073622"/>
    <w:rsid w:val="00083293"/>
    <w:rsid w:val="00083CCE"/>
    <w:rsid w:val="00083DBD"/>
    <w:rsid w:val="00084213"/>
    <w:rsid w:val="00084E1F"/>
    <w:rsid w:val="00085381"/>
    <w:rsid w:val="00093F72"/>
    <w:rsid w:val="000A3FE1"/>
    <w:rsid w:val="000A7747"/>
    <w:rsid w:val="000C280B"/>
    <w:rsid w:val="000C306A"/>
    <w:rsid w:val="000C56AA"/>
    <w:rsid w:val="000D117E"/>
    <w:rsid w:val="00101C73"/>
    <w:rsid w:val="00124693"/>
    <w:rsid w:val="00126675"/>
    <w:rsid w:val="00130BE1"/>
    <w:rsid w:val="00131F07"/>
    <w:rsid w:val="00132A51"/>
    <w:rsid w:val="00133B36"/>
    <w:rsid w:val="00143A75"/>
    <w:rsid w:val="0014786D"/>
    <w:rsid w:val="00147DEA"/>
    <w:rsid w:val="00156608"/>
    <w:rsid w:val="001612FF"/>
    <w:rsid w:val="001654C4"/>
    <w:rsid w:val="0016553C"/>
    <w:rsid w:val="00166EA5"/>
    <w:rsid w:val="0016760F"/>
    <w:rsid w:val="00167670"/>
    <w:rsid w:val="00172A84"/>
    <w:rsid w:val="00174561"/>
    <w:rsid w:val="00180FA4"/>
    <w:rsid w:val="00181144"/>
    <w:rsid w:val="00186D1D"/>
    <w:rsid w:val="00192FE6"/>
    <w:rsid w:val="001932E9"/>
    <w:rsid w:val="00195B70"/>
    <w:rsid w:val="001978D9"/>
    <w:rsid w:val="001A33FB"/>
    <w:rsid w:val="001B3E7B"/>
    <w:rsid w:val="001D0F10"/>
    <w:rsid w:val="001D7652"/>
    <w:rsid w:val="001E2370"/>
    <w:rsid w:val="001E7D6A"/>
    <w:rsid w:val="001F2A63"/>
    <w:rsid w:val="00206682"/>
    <w:rsid w:val="002217B8"/>
    <w:rsid w:val="002238B4"/>
    <w:rsid w:val="00223EBD"/>
    <w:rsid w:val="002346BB"/>
    <w:rsid w:val="00235504"/>
    <w:rsid w:val="00237115"/>
    <w:rsid w:val="0024136B"/>
    <w:rsid w:val="00241565"/>
    <w:rsid w:val="00241B74"/>
    <w:rsid w:val="00246649"/>
    <w:rsid w:val="002507AE"/>
    <w:rsid w:val="0025416F"/>
    <w:rsid w:val="00261D55"/>
    <w:rsid w:val="00262723"/>
    <w:rsid w:val="00265495"/>
    <w:rsid w:val="0026604A"/>
    <w:rsid w:val="00266A14"/>
    <w:rsid w:val="002728A5"/>
    <w:rsid w:val="0027481C"/>
    <w:rsid w:val="002761DD"/>
    <w:rsid w:val="00285632"/>
    <w:rsid w:val="00286B03"/>
    <w:rsid w:val="002911C9"/>
    <w:rsid w:val="0029422E"/>
    <w:rsid w:val="00294583"/>
    <w:rsid w:val="002973CD"/>
    <w:rsid w:val="002A3E90"/>
    <w:rsid w:val="002A484F"/>
    <w:rsid w:val="002B24D6"/>
    <w:rsid w:val="002C0233"/>
    <w:rsid w:val="002C124E"/>
    <w:rsid w:val="002C1645"/>
    <w:rsid w:val="002D4793"/>
    <w:rsid w:val="002D4B57"/>
    <w:rsid w:val="002F0711"/>
    <w:rsid w:val="002F0E1A"/>
    <w:rsid w:val="002F1294"/>
    <w:rsid w:val="002F26D1"/>
    <w:rsid w:val="002F2C6A"/>
    <w:rsid w:val="002F4E3F"/>
    <w:rsid w:val="00302020"/>
    <w:rsid w:val="0031095B"/>
    <w:rsid w:val="003228BC"/>
    <w:rsid w:val="00325A3D"/>
    <w:rsid w:val="00327AE5"/>
    <w:rsid w:val="0033478A"/>
    <w:rsid w:val="0034238D"/>
    <w:rsid w:val="003430F4"/>
    <w:rsid w:val="00344407"/>
    <w:rsid w:val="00345270"/>
    <w:rsid w:val="00347F5A"/>
    <w:rsid w:val="00350168"/>
    <w:rsid w:val="0035347F"/>
    <w:rsid w:val="00360FFC"/>
    <w:rsid w:val="00361096"/>
    <w:rsid w:val="00367B57"/>
    <w:rsid w:val="00374933"/>
    <w:rsid w:val="00381C5E"/>
    <w:rsid w:val="00382F18"/>
    <w:rsid w:val="00383DD0"/>
    <w:rsid w:val="00384CAA"/>
    <w:rsid w:val="00387A3A"/>
    <w:rsid w:val="003A1FA5"/>
    <w:rsid w:val="003A5A18"/>
    <w:rsid w:val="003A6E0D"/>
    <w:rsid w:val="003B3124"/>
    <w:rsid w:val="003B44E9"/>
    <w:rsid w:val="003C6AC4"/>
    <w:rsid w:val="003D1B30"/>
    <w:rsid w:val="003D1D0F"/>
    <w:rsid w:val="003E220A"/>
    <w:rsid w:val="003E5554"/>
    <w:rsid w:val="0040172E"/>
    <w:rsid w:val="00416698"/>
    <w:rsid w:val="00443164"/>
    <w:rsid w:val="00454B2E"/>
    <w:rsid w:val="00471945"/>
    <w:rsid w:val="00484BF2"/>
    <w:rsid w:val="00485F80"/>
    <w:rsid w:val="00486378"/>
    <w:rsid w:val="00486858"/>
    <w:rsid w:val="00487B88"/>
    <w:rsid w:val="00494FC3"/>
    <w:rsid w:val="0049616C"/>
    <w:rsid w:val="004A0F4D"/>
    <w:rsid w:val="004B25EF"/>
    <w:rsid w:val="004C4081"/>
    <w:rsid w:val="004D1831"/>
    <w:rsid w:val="004D346E"/>
    <w:rsid w:val="004D3B1E"/>
    <w:rsid w:val="004E5D8C"/>
    <w:rsid w:val="004E64E7"/>
    <w:rsid w:val="004F60A3"/>
    <w:rsid w:val="005079BF"/>
    <w:rsid w:val="00517D92"/>
    <w:rsid w:val="005251DF"/>
    <w:rsid w:val="00525F90"/>
    <w:rsid w:val="005279E7"/>
    <w:rsid w:val="00527B5B"/>
    <w:rsid w:val="00542CC6"/>
    <w:rsid w:val="005502E0"/>
    <w:rsid w:val="00551FC4"/>
    <w:rsid w:val="00554B73"/>
    <w:rsid w:val="00564DB2"/>
    <w:rsid w:val="005732A8"/>
    <w:rsid w:val="00586BA7"/>
    <w:rsid w:val="005916FC"/>
    <w:rsid w:val="005A13E4"/>
    <w:rsid w:val="005B0FB0"/>
    <w:rsid w:val="005C2450"/>
    <w:rsid w:val="005C3FF7"/>
    <w:rsid w:val="005C6490"/>
    <w:rsid w:val="005E0E8C"/>
    <w:rsid w:val="005E2681"/>
    <w:rsid w:val="005E2C0A"/>
    <w:rsid w:val="005F306B"/>
    <w:rsid w:val="005F31DA"/>
    <w:rsid w:val="005F6730"/>
    <w:rsid w:val="00600342"/>
    <w:rsid w:val="006046C7"/>
    <w:rsid w:val="00611BDC"/>
    <w:rsid w:val="006165F6"/>
    <w:rsid w:val="00624195"/>
    <w:rsid w:val="00627A6E"/>
    <w:rsid w:val="00631188"/>
    <w:rsid w:val="00637C22"/>
    <w:rsid w:val="006402DF"/>
    <w:rsid w:val="00640762"/>
    <w:rsid w:val="0064482C"/>
    <w:rsid w:val="006535A0"/>
    <w:rsid w:val="00666EDE"/>
    <w:rsid w:val="0067002A"/>
    <w:rsid w:val="0067217B"/>
    <w:rsid w:val="006776EA"/>
    <w:rsid w:val="00680E30"/>
    <w:rsid w:val="006875E0"/>
    <w:rsid w:val="006903ED"/>
    <w:rsid w:val="00693848"/>
    <w:rsid w:val="006A73D1"/>
    <w:rsid w:val="006B2E87"/>
    <w:rsid w:val="006B53EE"/>
    <w:rsid w:val="006B6AFC"/>
    <w:rsid w:val="006C7107"/>
    <w:rsid w:val="006C7333"/>
    <w:rsid w:val="006D0387"/>
    <w:rsid w:val="006D4FF4"/>
    <w:rsid w:val="006E03FF"/>
    <w:rsid w:val="006E444E"/>
    <w:rsid w:val="006E50C4"/>
    <w:rsid w:val="006F01B2"/>
    <w:rsid w:val="006F258C"/>
    <w:rsid w:val="006F3841"/>
    <w:rsid w:val="006F3DA8"/>
    <w:rsid w:val="006F6984"/>
    <w:rsid w:val="00702A7F"/>
    <w:rsid w:val="00703E04"/>
    <w:rsid w:val="00705BD2"/>
    <w:rsid w:val="00715408"/>
    <w:rsid w:val="00715973"/>
    <w:rsid w:val="007235E7"/>
    <w:rsid w:val="00731159"/>
    <w:rsid w:val="00737333"/>
    <w:rsid w:val="00737DB4"/>
    <w:rsid w:val="00747730"/>
    <w:rsid w:val="00747A15"/>
    <w:rsid w:val="00760126"/>
    <w:rsid w:val="007655F5"/>
    <w:rsid w:val="00770F6E"/>
    <w:rsid w:val="00772D9C"/>
    <w:rsid w:val="00775DC2"/>
    <w:rsid w:val="007776DB"/>
    <w:rsid w:val="007923E9"/>
    <w:rsid w:val="007A624B"/>
    <w:rsid w:val="007A69CB"/>
    <w:rsid w:val="007A7339"/>
    <w:rsid w:val="007B6A34"/>
    <w:rsid w:val="007C3F84"/>
    <w:rsid w:val="007C628A"/>
    <w:rsid w:val="007D40B0"/>
    <w:rsid w:val="007E1C8C"/>
    <w:rsid w:val="007F0279"/>
    <w:rsid w:val="007F09BD"/>
    <w:rsid w:val="007F5A30"/>
    <w:rsid w:val="007F626E"/>
    <w:rsid w:val="008004A4"/>
    <w:rsid w:val="008009E7"/>
    <w:rsid w:val="008017E6"/>
    <w:rsid w:val="0080400E"/>
    <w:rsid w:val="00811253"/>
    <w:rsid w:val="008117DC"/>
    <w:rsid w:val="0081720B"/>
    <w:rsid w:val="00821946"/>
    <w:rsid w:val="00824040"/>
    <w:rsid w:val="008262AE"/>
    <w:rsid w:val="00830765"/>
    <w:rsid w:val="00854AF7"/>
    <w:rsid w:val="00855C28"/>
    <w:rsid w:val="00857A6D"/>
    <w:rsid w:val="00857B2F"/>
    <w:rsid w:val="00864173"/>
    <w:rsid w:val="0088248E"/>
    <w:rsid w:val="008850E2"/>
    <w:rsid w:val="00887530"/>
    <w:rsid w:val="00887A81"/>
    <w:rsid w:val="008912A0"/>
    <w:rsid w:val="00892D94"/>
    <w:rsid w:val="00895E6E"/>
    <w:rsid w:val="00897F7C"/>
    <w:rsid w:val="008A1646"/>
    <w:rsid w:val="008A236F"/>
    <w:rsid w:val="008B007D"/>
    <w:rsid w:val="008B18C1"/>
    <w:rsid w:val="008C06F1"/>
    <w:rsid w:val="008C3A33"/>
    <w:rsid w:val="008C7D0E"/>
    <w:rsid w:val="008D156B"/>
    <w:rsid w:val="008D4FC4"/>
    <w:rsid w:val="008D6CA8"/>
    <w:rsid w:val="008E0719"/>
    <w:rsid w:val="008E38D9"/>
    <w:rsid w:val="008F04EB"/>
    <w:rsid w:val="008F0DED"/>
    <w:rsid w:val="008F2608"/>
    <w:rsid w:val="008F4195"/>
    <w:rsid w:val="008F7A11"/>
    <w:rsid w:val="00912A38"/>
    <w:rsid w:val="0091364D"/>
    <w:rsid w:val="00917642"/>
    <w:rsid w:val="009177C6"/>
    <w:rsid w:val="00917AF1"/>
    <w:rsid w:val="00924CFE"/>
    <w:rsid w:val="00927CF3"/>
    <w:rsid w:val="00932D52"/>
    <w:rsid w:val="00933658"/>
    <w:rsid w:val="00937500"/>
    <w:rsid w:val="00940365"/>
    <w:rsid w:val="00942BE4"/>
    <w:rsid w:val="00954878"/>
    <w:rsid w:val="00955642"/>
    <w:rsid w:val="00961331"/>
    <w:rsid w:val="009618B8"/>
    <w:rsid w:val="009639B0"/>
    <w:rsid w:val="009653C9"/>
    <w:rsid w:val="00976C57"/>
    <w:rsid w:val="00976D4E"/>
    <w:rsid w:val="0098386B"/>
    <w:rsid w:val="009855C6"/>
    <w:rsid w:val="00986184"/>
    <w:rsid w:val="00987385"/>
    <w:rsid w:val="00990DE2"/>
    <w:rsid w:val="009A0C2B"/>
    <w:rsid w:val="009A0FE7"/>
    <w:rsid w:val="009B28F1"/>
    <w:rsid w:val="009B3027"/>
    <w:rsid w:val="009B6748"/>
    <w:rsid w:val="009D295B"/>
    <w:rsid w:val="009D3793"/>
    <w:rsid w:val="009D45A8"/>
    <w:rsid w:val="009E06B1"/>
    <w:rsid w:val="009E6FA6"/>
    <w:rsid w:val="009F4132"/>
    <w:rsid w:val="009F4B93"/>
    <w:rsid w:val="00A0050F"/>
    <w:rsid w:val="00A06FA0"/>
    <w:rsid w:val="00A10DF9"/>
    <w:rsid w:val="00A1381D"/>
    <w:rsid w:val="00A13923"/>
    <w:rsid w:val="00A15320"/>
    <w:rsid w:val="00A23ECB"/>
    <w:rsid w:val="00A2608A"/>
    <w:rsid w:val="00A27DCE"/>
    <w:rsid w:val="00A34FA6"/>
    <w:rsid w:val="00A41E02"/>
    <w:rsid w:val="00A44A6E"/>
    <w:rsid w:val="00A5017B"/>
    <w:rsid w:val="00A56C89"/>
    <w:rsid w:val="00A56EF6"/>
    <w:rsid w:val="00A73001"/>
    <w:rsid w:val="00A80388"/>
    <w:rsid w:val="00A851CC"/>
    <w:rsid w:val="00A864CC"/>
    <w:rsid w:val="00A94062"/>
    <w:rsid w:val="00AA0F0A"/>
    <w:rsid w:val="00AB2724"/>
    <w:rsid w:val="00AB3557"/>
    <w:rsid w:val="00AC249B"/>
    <w:rsid w:val="00AC5F22"/>
    <w:rsid w:val="00AE1299"/>
    <w:rsid w:val="00AE2BA2"/>
    <w:rsid w:val="00AF0EE6"/>
    <w:rsid w:val="00AF1568"/>
    <w:rsid w:val="00AF4B83"/>
    <w:rsid w:val="00B101F9"/>
    <w:rsid w:val="00B1449F"/>
    <w:rsid w:val="00B16974"/>
    <w:rsid w:val="00B22D0C"/>
    <w:rsid w:val="00B24ED7"/>
    <w:rsid w:val="00B4184D"/>
    <w:rsid w:val="00B4320A"/>
    <w:rsid w:val="00B43580"/>
    <w:rsid w:val="00B46B4B"/>
    <w:rsid w:val="00B54131"/>
    <w:rsid w:val="00B54352"/>
    <w:rsid w:val="00B54DE8"/>
    <w:rsid w:val="00B5733D"/>
    <w:rsid w:val="00B72C81"/>
    <w:rsid w:val="00B72FF9"/>
    <w:rsid w:val="00B749FE"/>
    <w:rsid w:val="00B74D4C"/>
    <w:rsid w:val="00B76A4F"/>
    <w:rsid w:val="00B77300"/>
    <w:rsid w:val="00B8036A"/>
    <w:rsid w:val="00B841B0"/>
    <w:rsid w:val="00B871F0"/>
    <w:rsid w:val="00B9101F"/>
    <w:rsid w:val="00B92BFB"/>
    <w:rsid w:val="00B9640F"/>
    <w:rsid w:val="00BA16D9"/>
    <w:rsid w:val="00BA1EE2"/>
    <w:rsid w:val="00BA423F"/>
    <w:rsid w:val="00BA4D64"/>
    <w:rsid w:val="00BA5D9F"/>
    <w:rsid w:val="00BB0255"/>
    <w:rsid w:val="00BB0503"/>
    <w:rsid w:val="00BB44E1"/>
    <w:rsid w:val="00BC00AC"/>
    <w:rsid w:val="00BC3DD3"/>
    <w:rsid w:val="00BD0F27"/>
    <w:rsid w:val="00BD421E"/>
    <w:rsid w:val="00BD5DF7"/>
    <w:rsid w:val="00BE229C"/>
    <w:rsid w:val="00BE3439"/>
    <w:rsid w:val="00BE609A"/>
    <w:rsid w:val="00BF039F"/>
    <w:rsid w:val="00BF2DF4"/>
    <w:rsid w:val="00BF6484"/>
    <w:rsid w:val="00BF773D"/>
    <w:rsid w:val="00C00554"/>
    <w:rsid w:val="00C01904"/>
    <w:rsid w:val="00C02F79"/>
    <w:rsid w:val="00C0325D"/>
    <w:rsid w:val="00C059C0"/>
    <w:rsid w:val="00C069ED"/>
    <w:rsid w:val="00C200AC"/>
    <w:rsid w:val="00C2138F"/>
    <w:rsid w:val="00C22F22"/>
    <w:rsid w:val="00C2385C"/>
    <w:rsid w:val="00C4295D"/>
    <w:rsid w:val="00C466E9"/>
    <w:rsid w:val="00C4761C"/>
    <w:rsid w:val="00C62283"/>
    <w:rsid w:val="00C627A3"/>
    <w:rsid w:val="00C63F15"/>
    <w:rsid w:val="00C6474F"/>
    <w:rsid w:val="00C64CA8"/>
    <w:rsid w:val="00C755A8"/>
    <w:rsid w:val="00C76A8B"/>
    <w:rsid w:val="00C80CBC"/>
    <w:rsid w:val="00C86490"/>
    <w:rsid w:val="00C95D98"/>
    <w:rsid w:val="00CA0551"/>
    <w:rsid w:val="00CA1247"/>
    <w:rsid w:val="00CA486B"/>
    <w:rsid w:val="00CA5740"/>
    <w:rsid w:val="00CB0A08"/>
    <w:rsid w:val="00CC6FFE"/>
    <w:rsid w:val="00CD0BA4"/>
    <w:rsid w:val="00CD4559"/>
    <w:rsid w:val="00CD7DAB"/>
    <w:rsid w:val="00CE3EB3"/>
    <w:rsid w:val="00D0250E"/>
    <w:rsid w:val="00D0266C"/>
    <w:rsid w:val="00D05E45"/>
    <w:rsid w:val="00D10C1B"/>
    <w:rsid w:val="00D16A3F"/>
    <w:rsid w:val="00D17E70"/>
    <w:rsid w:val="00D201EC"/>
    <w:rsid w:val="00D31205"/>
    <w:rsid w:val="00D3169A"/>
    <w:rsid w:val="00D31AC2"/>
    <w:rsid w:val="00D354D6"/>
    <w:rsid w:val="00D40391"/>
    <w:rsid w:val="00D538C7"/>
    <w:rsid w:val="00D61746"/>
    <w:rsid w:val="00D662A9"/>
    <w:rsid w:val="00D82B23"/>
    <w:rsid w:val="00D95456"/>
    <w:rsid w:val="00D95971"/>
    <w:rsid w:val="00D9738E"/>
    <w:rsid w:val="00DA10EE"/>
    <w:rsid w:val="00DA1DA7"/>
    <w:rsid w:val="00DB3302"/>
    <w:rsid w:val="00DB6306"/>
    <w:rsid w:val="00DC13E5"/>
    <w:rsid w:val="00DC1FDF"/>
    <w:rsid w:val="00DC2A4F"/>
    <w:rsid w:val="00DC3A6A"/>
    <w:rsid w:val="00DE30E0"/>
    <w:rsid w:val="00DE7301"/>
    <w:rsid w:val="00DF152A"/>
    <w:rsid w:val="00DF20A8"/>
    <w:rsid w:val="00DF7C08"/>
    <w:rsid w:val="00E05C17"/>
    <w:rsid w:val="00E069BB"/>
    <w:rsid w:val="00E16B8D"/>
    <w:rsid w:val="00E201D2"/>
    <w:rsid w:val="00E2149D"/>
    <w:rsid w:val="00E22B18"/>
    <w:rsid w:val="00E2438A"/>
    <w:rsid w:val="00E278C7"/>
    <w:rsid w:val="00E30983"/>
    <w:rsid w:val="00E31F5B"/>
    <w:rsid w:val="00E33F8B"/>
    <w:rsid w:val="00E34145"/>
    <w:rsid w:val="00E43FB9"/>
    <w:rsid w:val="00E453EB"/>
    <w:rsid w:val="00E51E24"/>
    <w:rsid w:val="00E51FCA"/>
    <w:rsid w:val="00E54D7D"/>
    <w:rsid w:val="00E62861"/>
    <w:rsid w:val="00E66A46"/>
    <w:rsid w:val="00E71D1F"/>
    <w:rsid w:val="00E72C23"/>
    <w:rsid w:val="00E863B2"/>
    <w:rsid w:val="00EA0286"/>
    <w:rsid w:val="00EA6131"/>
    <w:rsid w:val="00EA6698"/>
    <w:rsid w:val="00EB1E33"/>
    <w:rsid w:val="00EB5835"/>
    <w:rsid w:val="00EC3986"/>
    <w:rsid w:val="00EE6949"/>
    <w:rsid w:val="00EF09E4"/>
    <w:rsid w:val="00EF14D3"/>
    <w:rsid w:val="00EF5F38"/>
    <w:rsid w:val="00EF6DCC"/>
    <w:rsid w:val="00EF7F28"/>
    <w:rsid w:val="00F02BB6"/>
    <w:rsid w:val="00F14059"/>
    <w:rsid w:val="00F15B55"/>
    <w:rsid w:val="00F20B96"/>
    <w:rsid w:val="00F350E0"/>
    <w:rsid w:val="00F37F04"/>
    <w:rsid w:val="00F455CC"/>
    <w:rsid w:val="00F551FB"/>
    <w:rsid w:val="00F57906"/>
    <w:rsid w:val="00F63135"/>
    <w:rsid w:val="00F7358B"/>
    <w:rsid w:val="00F861CA"/>
    <w:rsid w:val="00F872BB"/>
    <w:rsid w:val="00F932D8"/>
    <w:rsid w:val="00F9498F"/>
    <w:rsid w:val="00F977C3"/>
    <w:rsid w:val="00FA63C2"/>
    <w:rsid w:val="00FB4636"/>
    <w:rsid w:val="00FC3CE9"/>
    <w:rsid w:val="00FC502B"/>
    <w:rsid w:val="00FC78E9"/>
    <w:rsid w:val="00FD1AFA"/>
    <w:rsid w:val="00FD41AE"/>
    <w:rsid w:val="00FD4436"/>
    <w:rsid w:val="00FD49FF"/>
    <w:rsid w:val="00FD67FB"/>
    <w:rsid w:val="00FF2AC6"/>
    <w:rsid w:val="00FF3023"/>
    <w:rsid w:val="00FF42DD"/>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ACF21C"/>
  <w15:docId w15:val="{4CFAE85A-33EB-4C31-92BC-FDC67EF3D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lsdException w:name="heading 5" w:semiHidden="1" w:unhideWhenUsed="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uiPriority="22" w:unhideWhenUsed="1" w:qFormat="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unhideWhenUsed="1"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E1299"/>
    <w:pPr>
      <w:spacing w:after="160" w:line="259" w:lineRule="auto"/>
    </w:pPr>
    <w:rPr>
      <w:rFonts w:asciiTheme="minorHAnsi" w:eastAsiaTheme="minorHAnsi" w:hAnsiTheme="minorHAnsi" w:cstheme="minorBidi"/>
      <w:kern w:val="2"/>
      <w:sz w:val="22"/>
      <w:szCs w:val="22"/>
      <w:lang w:val="en-US" w:eastAsia="en-US"/>
      <w14:ligatures w14:val="standardContextual"/>
    </w:rPr>
  </w:style>
  <w:style w:type="paragraph" w:styleId="Heading1">
    <w:name w:val="heading 1"/>
    <w:basedOn w:val="Normal"/>
    <w:next w:val="Normal"/>
    <w:link w:val="Heading1Char"/>
    <w:qFormat/>
    <w:rsid w:val="00811253"/>
    <w:pPr>
      <w:spacing w:after="0" w:line="240" w:lineRule="auto"/>
      <w:outlineLvl w:val="0"/>
    </w:pPr>
    <w:rPr>
      <w:rFonts w:ascii="Calibri" w:eastAsia="Times New Roman" w:hAnsi="Calibri" w:cs="Calibri"/>
      <w:b/>
      <w:bCs/>
      <w:color w:val="126AF3" w:themeColor="accent2"/>
      <w:kern w:val="0"/>
      <w:sz w:val="36"/>
      <w:szCs w:val="36"/>
      <w:lang w:eastAsia="da-DK"/>
      <w14:ligatures w14:val="none"/>
    </w:rPr>
  </w:style>
  <w:style w:type="paragraph" w:styleId="Heading2">
    <w:name w:val="heading 2"/>
    <w:basedOn w:val="Normal"/>
    <w:next w:val="Normal"/>
    <w:link w:val="Heading2Char"/>
    <w:qFormat/>
    <w:rsid w:val="00A1381D"/>
    <w:pPr>
      <w:spacing w:after="0" w:line="240" w:lineRule="auto"/>
      <w:outlineLvl w:val="1"/>
    </w:pPr>
    <w:rPr>
      <w:rFonts w:ascii="Calibri" w:eastAsia="Times New Roman" w:hAnsi="Calibri" w:cs="Calibri"/>
      <w:b/>
      <w:bCs/>
      <w:color w:val="126AF3" w:themeColor="accent2"/>
      <w:kern w:val="0"/>
      <w:sz w:val="28"/>
      <w:szCs w:val="28"/>
      <w:lang w:eastAsia="da-DK"/>
      <w14:ligatures w14:val="none"/>
    </w:rPr>
  </w:style>
  <w:style w:type="paragraph" w:styleId="Heading3">
    <w:name w:val="heading 3"/>
    <w:basedOn w:val="Normal"/>
    <w:next w:val="Normal"/>
    <w:link w:val="Heading3Char"/>
    <w:qFormat/>
    <w:rsid w:val="00D31AC2"/>
    <w:pPr>
      <w:spacing w:after="0" w:line="240" w:lineRule="auto"/>
      <w:outlineLvl w:val="2"/>
    </w:pPr>
    <w:rPr>
      <w:rFonts w:ascii="Calibri" w:eastAsia="Times New Roman" w:hAnsi="Calibri" w:cs="Calibri"/>
      <w:b/>
      <w:bCs/>
      <w:color w:val="000000" w:themeColor="text1"/>
      <w:kern w:val="0"/>
      <w:sz w:val="24"/>
      <w:szCs w:val="24"/>
      <w:lang w:eastAsia="da-DK"/>
      <w14:ligatures w14:val="none"/>
    </w:rPr>
  </w:style>
  <w:style w:type="paragraph" w:styleId="Heading4">
    <w:name w:val="heading 4"/>
    <w:basedOn w:val="Normal"/>
    <w:next w:val="Normal"/>
    <w:link w:val="Heading4Char"/>
    <w:semiHidden/>
    <w:unhideWhenUsed/>
    <w:rsid w:val="00631188"/>
    <w:pPr>
      <w:keepNext/>
      <w:keepLines/>
      <w:spacing w:before="200" w:after="0" w:line="240" w:lineRule="auto"/>
      <w:outlineLvl w:val="3"/>
    </w:pPr>
    <w:rPr>
      <w:rFonts w:asciiTheme="majorHAnsi" w:eastAsiaTheme="majorEastAsia" w:hAnsiTheme="majorHAnsi" w:cstheme="majorBidi"/>
      <w:b/>
      <w:bCs/>
      <w:i/>
      <w:iCs/>
      <w:color w:val="11497B" w:themeColor="accent1"/>
      <w:kern w:val="0"/>
      <w:sz w:val="24"/>
      <w:szCs w:val="24"/>
      <w:lang w:val="en-GB" w:eastAsia="da-DK"/>
      <w14:ligatures w14:val="none"/>
    </w:rPr>
  </w:style>
  <w:style w:type="paragraph" w:styleId="Heading5">
    <w:name w:val="heading 5"/>
    <w:basedOn w:val="Normal"/>
    <w:next w:val="Normal"/>
    <w:link w:val="Heading5Char"/>
    <w:semiHidden/>
    <w:unhideWhenUsed/>
    <w:rsid w:val="00631188"/>
    <w:pPr>
      <w:keepNext/>
      <w:keepLines/>
      <w:spacing w:before="200" w:after="0" w:line="240" w:lineRule="auto"/>
      <w:outlineLvl w:val="4"/>
    </w:pPr>
    <w:rPr>
      <w:rFonts w:asciiTheme="majorHAnsi" w:eastAsiaTheme="majorEastAsia" w:hAnsiTheme="majorHAnsi" w:cstheme="majorBidi"/>
      <w:color w:val="08243D" w:themeColor="accent1" w:themeShade="7F"/>
      <w:kern w:val="0"/>
      <w:sz w:val="24"/>
      <w:szCs w:val="24"/>
      <w:lang w:val="en-GB" w:eastAsia="da-DK"/>
      <w14:ligatures w14:val="none"/>
    </w:rPr>
  </w:style>
  <w:style w:type="paragraph" w:styleId="Heading6">
    <w:name w:val="heading 6"/>
    <w:basedOn w:val="Normal"/>
    <w:next w:val="Normal"/>
    <w:link w:val="Heading6Char"/>
    <w:semiHidden/>
    <w:unhideWhenUsed/>
    <w:rsid w:val="00631188"/>
    <w:pPr>
      <w:keepNext/>
      <w:keepLines/>
      <w:spacing w:before="200" w:after="0" w:line="240" w:lineRule="auto"/>
      <w:outlineLvl w:val="5"/>
    </w:pPr>
    <w:rPr>
      <w:rFonts w:asciiTheme="majorHAnsi" w:eastAsiaTheme="majorEastAsia" w:hAnsiTheme="majorHAnsi" w:cstheme="majorBidi"/>
      <w:i/>
      <w:iCs/>
      <w:color w:val="08243D" w:themeColor="accent1" w:themeShade="7F"/>
      <w:kern w:val="0"/>
      <w:sz w:val="24"/>
      <w:szCs w:val="24"/>
      <w:lang w:val="en-GB" w:eastAsia="da-DK"/>
      <w14:ligatures w14:val="none"/>
    </w:rPr>
  </w:style>
  <w:style w:type="paragraph" w:styleId="Heading7">
    <w:name w:val="heading 7"/>
    <w:basedOn w:val="Normal"/>
    <w:next w:val="Normal"/>
    <w:link w:val="Heading7Char"/>
    <w:semiHidden/>
    <w:unhideWhenUsed/>
    <w:qFormat/>
    <w:rsid w:val="007655F5"/>
    <w:pPr>
      <w:keepNext/>
      <w:keepLines/>
      <w:spacing w:before="200" w:after="0" w:line="240" w:lineRule="auto"/>
      <w:outlineLvl w:val="6"/>
    </w:pPr>
    <w:rPr>
      <w:rFonts w:asciiTheme="majorHAnsi" w:eastAsiaTheme="majorEastAsia" w:hAnsiTheme="majorHAnsi" w:cstheme="majorBidi"/>
      <w:i/>
      <w:iCs/>
      <w:color w:val="404040" w:themeColor="text1" w:themeTint="BF"/>
      <w:kern w:val="0"/>
      <w:sz w:val="24"/>
      <w:szCs w:val="24"/>
      <w:lang w:val="en-GB" w:eastAsia="da-DK"/>
      <w14:ligatures w14:val="none"/>
    </w:rPr>
  </w:style>
  <w:style w:type="paragraph" w:styleId="Heading8">
    <w:name w:val="heading 8"/>
    <w:basedOn w:val="Normal"/>
    <w:next w:val="Normal"/>
    <w:link w:val="Heading8Char"/>
    <w:semiHidden/>
    <w:unhideWhenUsed/>
    <w:qFormat/>
    <w:rsid w:val="007655F5"/>
    <w:pPr>
      <w:keepNext/>
      <w:keepLines/>
      <w:spacing w:before="200" w:after="0" w:line="240" w:lineRule="auto"/>
      <w:outlineLvl w:val="7"/>
    </w:pPr>
    <w:rPr>
      <w:rFonts w:asciiTheme="majorHAnsi" w:eastAsiaTheme="majorEastAsia" w:hAnsiTheme="majorHAnsi" w:cstheme="majorBidi"/>
      <w:color w:val="404040" w:themeColor="text1" w:themeTint="BF"/>
      <w:kern w:val="0"/>
      <w:sz w:val="20"/>
      <w:szCs w:val="20"/>
      <w:lang w:val="en-GB" w:eastAsia="da-DK"/>
      <w14:ligatures w14:val="none"/>
    </w:rPr>
  </w:style>
  <w:style w:type="paragraph" w:styleId="Heading9">
    <w:name w:val="heading 9"/>
    <w:basedOn w:val="Normal"/>
    <w:next w:val="Normal"/>
    <w:link w:val="Heading9Char"/>
    <w:semiHidden/>
    <w:unhideWhenUsed/>
    <w:qFormat/>
    <w:rsid w:val="007655F5"/>
    <w:pPr>
      <w:keepNext/>
      <w:keepLines/>
      <w:spacing w:before="200" w:after="0" w:line="240" w:lineRule="auto"/>
      <w:outlineLvl w:val="8"/>
    </w:pPr>
    <w:rPr>
      <w:rFonts w:asciiTheme="majorHAnsi" w:eastAsiaTheme="majorEastAsia" w:hAnsiTheme="majorHAnsi" w:cstheme="majorBidi"/>
      <w:i/>
      <w:iCs/>
      <w:color w:val="404040" w:themeColor="text1" w:themeTint="BF"/>
      <w:kern w:val="0"/>
      <w:sz w:val="20"/>
      <w:szCs w:val="20"/>
      <w:lang w:val="en-GB" w:eastAsia="da-DK"/>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qFormat/>
    <w:rsid w:val="002F0E1A"/>
    <w:pPr>
      <w:numPr>
        <w:numId w:val="35"/>
      </w:numPr>
      <w:spacing w:after="0" w:line="240" w:lineRule="auto"/>
    </w:pPr>
    <w:rPr>
      <w:rFonts w:ascii="Calibri" w:eastAsia="Times New Roman" w:hAnsi="Calibri" w:cs="Times New Roman"/>
      <w:kern w:val="0"/>
      <w:sz w:val="24"/>
      <w:szCs w:val="24"/>
      <w:lang w:val="en-GB" w:eastAsia="da-DK"/>
      <w14:ligatures w14:val="none"/>
    </w:rPr>
  </w:style>
  <w:style w:type="paragraph" w:styleId="ListBullet">
    <w:name w:val="List Bullet"/>
    <w:basedOn w:val="ListParagraph"/>
    <w:qFormat/>
    <w:rsid w:val="002F0E1A"/>
    <w:pPr>
      <w:numPr>
        <w:numId w:val="33"/>
      </w:numPr>
    </w:pPr>
    <w:rPr>
      <w:rFonts w:cs="Calibri"/>
    </w:rPr>
  </w:style>
  <w:style w:type="paragraph" w:styleId="ListBullet2">
    <w:name w:val="List Bullet 2"/>
    <w:basedOn w:val="ListBullet"/>
    <w:rsid w:val="005279E7"/>
    <w:pPr>
      <w:ind w:left="568"/>
    </w:pPr>
  </w:style>
  <w:style w:type="character" w:customStyle="1" w:styleId="Heading1Char">
    <w:name w:val="Heading 1 Char"/>
    <w:basedOn w:val="DefaultParagraphFont"/>
    <w:link w:val="Heading1"/>
    <w:rsid w:val="00811253"/>
    <w:rPr>
      <w:rFonts w:ascii="Calibri" w:hAnsi="Calibri" w:cs="Calibri"/>
      <w:b/>
      <w:bCs/>
      <w:color w:val="126AF3" w:themeColor="accent2"/>
      <w:sz w:val="36"/>
      <w:szCs w:val="36"/>
      <w:lang w:val="en-US"/>
    </w:rPr>
  </w:style>
  <w:style w:type="character" w:customStyle="1" w:styleId="Heading2Char">
    <w:name w:val="Heading 2 Char"/>
    <w:basedOn w:val="DefaultParagraphFont"/>
    <w:link w:val="Heading2"/>
    <w:rsid w:val="00A1381D"/>
    <w:rPr>
      <w:rFonts w:ascii="Calibri" w:hAnsi="Calibri" w:cs="Calibri"/>
      <w:b/>
      <w:bCs/>
      <w:color w:val="126AF3" w:themeColor="accent2"/>
      <w:sz w:val="28"/>
      <w:szCs w:val="28"/>
      <w:lang w:val="en-US"/>
    </w:rPr>
  </w:style>
  <w:style w:type="character" w:customStyle="1" w:styleId="Heading3Char">
    <w:name w:val="Heading 3 Char"/>
    <w:basedOn w:val="DefaultParagraphFont"/>
    <w:link w:val="Heading3"/>
    <w:rsid w:val="00D31AC2"/>
    <w:rPr>
      <w:rFonts w:ascii="Calibri" w:hAnsi="Calibri" w:cs="Calibri"/>
      <w:b/>
      <w:bCs/>
      <w:color w:val="000000" w:themeColor="text1"/>
      <w:sz w:val="24"/>
      <w:szCs w:val="24"/>
      <w:lang w:val="en-US"/>
    </w:rPr>
  </w:style>
  <w:style w:type="character" w:customStyle="1" w:styleId="Heading4Char">
    <w:name w:val="Heading 4 Char"/>
    <w:basedOn w:val="DefaultParagraphFont"/>
    <w:link w:val="Heading4"/>
    <w:semiHidden/>
    <w:rsid w:val="00631188"/>
    <w:rPr>
      <w:rFonts w:asciiTheme="majorHAnsi" w:eastAsiaTheme="majorEastAsia" w:hAnsiTheme="majorHAnsi" w:cstheme="majorBidi"/>
      <w:b/>
      <w:bCs/>
      <w:i/>
      <w:iCs/>
      <w:color w:val="11497B" w:themeColor="accent1"/>
      <w:sz w:val="24"/>
      <w:szCs w:val="24"/>
    </w:rPr>
  </w:style>
  <w:style w:type="character" w:customStyle="1" w:styleId="Heading5Char">
    <w:name w:val="Heading 5 Char"/>
    <w:basedOn w:val="DefaultParagraphFont"/>
    <w:link w:val="Heading5"/>
    <w:semiHidden/>
    <w:rsid w:val="00631188"/>
    <w:rPr>
      <w:rFonts w:asciiTheme="majorHAnsi" w:eastAsiaTheme="majorEastAsia" w:hAnsiTheme="majorHAnsi" w:cstheme="majorBidi"/>
      <w:color w:val="08243D" w:themeColor="accent1" w:themeShade="7F"/>
      <w:sz w:val="24"/>
      <w:szCs w:val="24"/>
    </w:rPr>
  </w:style>
  <w:style w:type="character" w:customStyle="1" w:styleId="Heading6Char">
    <w:name w:val="Heading 6 Char"/>
    <w:basedOn w:val="DefaultParagraphFont"/>
    <w:link w:val="Heading6"/>
    <w:semiHidden/>
    <w:rsid w:val="00631188"/>
    <w:rPr>
      <w:rFonts w:asciiTheme="majorHAnsi" w:eastAsiaTheme="majorEastAsia" w:hAnsiTheme="majorHAnsi" w:cstheme="majorBidi"/>
      <w:i/>
      <w:iCs/>
      <w:color w:val="08243D" w:themeColor="accent1" w:themeShade="7F"/>
      <w:sz w:val="24"/>
      <w:szCs w:val="24"/>
    </w:rPr>
  </w:style>
  <w:style w:type="character" w:customStyle="1" w:styleId="Heading7Char">
    <w:name w:val="Heading 7 Char"/>
    <w:basedOn w:val="DefaultParagraphFont"/>
    <w:link w:val="Heading7"/>
    <w:semiHidden/>
    <w:rsid w:val="007655F5"/>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semiHidden/>
    <w:rsid w:val="007655F5"/>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semiHidden/>
    <w:rsid w:val="007655F5"/>
    <w:rPr>
      <w:rFonts w:asciiTheme="majorHAnsi" w:eastAsiaTheme="majorEastAsia" w:hAnsiTheme="majorHAnsi" w:cstheme="majorBidi"/>
      <w:i/>
      <w:iCs/>
      <w:color w:val="404040" w:themeColor="text1" w:themeTint="BF"/>
    </w:rPr>
  </w:style>
  <w:style w:type="paragraph" w:styleId="Caption">
    <w:name w:val="caption"/>
    <w:basedOn w:val="Normal"/>
    <w:next w:val="Normal"/>
    <w:semiHidden/>
    <w:qFormat/>
    <w:rsid w:val="006F3DA8"/>
    <w:pPr>
      <w:spacing w:after="200" w:line="240" w:lineRule="auto"/>
    </w:pPr>
    <w:rPr>
      <w:rFonts w:ascii="Calibri" w:eastAsia="Times New Roman" w:hAnsi="Calibri" w:cs="Times New Roman"/>
      <w:b/>
      <w:bCs/>
      <w:kern w:val="0"/>
      <w:sz w:val="18"/>
      <w:szCs w:val="18"/>
      <w:lang w:val="en-GB" w:eastAsia="da-DK"/>
      <w14:ligatures w14:val="none"/>
    </w:rPr>
  </w:style>
  <w:style w:type="paragraph" w:styleId="Title">
    <w:name w:val="Title"/>
    <w:basedOn w:val="Normal"/>
    <w:next w:val="Normal"/>
    <w:link w:val="TitleChar"/>
    <w:uiPriority w:val="10"/>
    <w:unhideWhenUsed/>
    <w:qFormat/>
    <w:rsid w:val="00631188"/>
    <w:pPr>
      <w:pBdr>
        <w:bottom w:val="single" w:sz="8" w:space="4" w:color="11497B" w:themeColor="accent1"/>
      </w:pBdr>
      <w:spacing w:after="300" w:line="240" w:lineRule="auto"/>
      <w:contextualSpacing/>
    </w:pPr>
    <w:rPr>
      <w:rFonts w:asciiTheme="majorHAnsi" w:eastAsiaTheme="majorEastAsia" w:hAnsiTheme="majorHAnsi" w:cstheme="majorBidi"/>
      <w:color w:val="90B8D6" w:themeColor="text2" w:themeShade="BF"/>
      <w:spacing w:val="5"/>
      <w:kern w:val="28"/>
      <w:sz w:val="52"/>
      <w:szCs w:val="52"/>
      <w:lang w:val="en-GB" w:eastAsia="da-DK"/>
      <w14:ligatures w14:val="none"/>
    </w:rPr>
  </w:style>
  <w:style w:type="character" w:customStyle="1" w:styleId="TitleChar">
    <w:name w:val="Title Char"/>
    <w:basedOn w:val="DefaultParagraphFont"/>
    <w:link w:val="Title"/>
    <w:uiPriority w:val="10"/>
    <w:rsid w:val="00631188"/>
    <w:rPr>
      <w:rFonts w:asciiTheme="majorHAnsi" w:eastAsiaTheme="majorEastAsia" w:hAnsiTheme="majorHAnsi" w:cstheme="majorBidi"/>
      <w:color w:val="90B8D6" w:themeColor="text2" w:themeShade="BF"/>
      <w:spacing w:val="5"/>
      <w:kern w:val="28"/>
      <w:sz w:val="52"/>
      <w:szCs w:val="52"/>
    </w:rPr>
  </w:style>
  <w:style w:type="paragraph" w:styleId="Subtitle">
    <w:name w:val="Subtitle"/>
    <w:basedOn w:val="Normal"/>
    <w:next w:val="Normal"/>
    <w:link w:val="SubtitleChar"/>
    <w:semiHidden/>
    <w:unhideWhenUsed/>
    <w:rsid w:val="00631188"/>
    <w:pPr>
      <w:numPr>
        <w:ilvl w:val="1"/>
      </w:numPr>
    </w:pPr>
    <w:rPr>
      <w:rFonts w:asciiTheme="majorHAnsi" w:eastAsiaTheme="majorEastAsia" w:hAnsiTheme="majorHAnsi" w:cstheme="majorBidi"/>
      <w:i/>
      <w:iCs/>
      <w:color w:val="11497B" w:themeColor="accent1"/>
      <w:spacing w:val="15"/>
    </w:rPr>
  </w:style>
  <w:style w:type="character" w:customStyle="1" w:styleId="SubtitleChar">
    <w:name w:val="Subtitle Char"/>
    <w:basedOn w:val="DefaultParagraphFont"/>
    <w:link w:val="Subtitle"/>
    <w:semiHidden/>
    <w:rsid w:val="00631188"/>
    <w:rPr>
      <w:rFonts w:asciiTheme="majorHAnsi" w:eastAsiaTheme="majorEastAsia" w:hAnsiTheme="majorHAnsi" w:cstheme="majorBidi"/>
      <w:i/>
      <w:iCs/>
      <w:color w:val="11497B" w:themeColor="accent1"/>
      <w:spacing w:val="15"/>
      <w:sz w:val="24"/>
      <w:szCs w:val="24"/>
    </w:rPr>
  </w:style>
  <w:style w:type="character" w:styleId="Strong">
    <w:name w:val="Strong"/>
    <w:basedOn w:val="DefaultParagraphFont"/>
    <w:uiPriority w:val="22"/>
    <w:unhideWhenUsed/>
    <w:qFormat/>
    <w:rsid w:val="00631188"/>
    <w:rPr>
      <w:b/>
      <w:bCs/>
    </w:rPr>
  </w:style>
  <w:style w:type="character" w:styleId="Emphasis">
    <w:name w:val="Emphasis"/>
    <w:basedOn w:val="DefaultParagraphFont"/>
    <w:semiHidden/>
    <w:rsid w:val="00631188"/>
    <w:rPr>
      <w:i/>
      <w:iCs/>
    </w:rPr>
  </w:style>
  <w:style w:type="paragraph" w:styleId="NoSpacing">
    <w:name w:val="No Spacing"/>
    <w:uiPriority w:val="1"/>
    <w:semiHidden/>
    <w:unhideWhenUsed/>
    <w:rsid w:val="00631188"/>
    <w:pPr>
      <w:tabs>
        <w:tab w:val="left" w:pos="992"/>
        <w:tab w:val="left" w:pos="1247"/>
      </w:tabs>
    </w:pPr>
    <w:rPr>
      <w:rFonts w:ascii="Grundfos TheSans V2" w:hAnsi="Grundfos TheSans V2"/>
      <w:sz w:val="24"/>
      <w:szCs w:val="24"/>
    </w:rPr>
  </w:style>
  <w:style w:type="paragraph" w:styleId="ListParagraph">
    <w:name w:val="List Paragraph"/>
    <w:basedOn w:val="Normal"/>
    <w:uiPriority w:val="34"/>
    <w:unhideWhenUsed/>
    <w:qFormat/>
    <w:rsid w:val="00631188"/>
    <w:pPr>
      <w:spacing w:after="0" w:line="240" w:lineRule="auto"/>
      <w:ind w:left="720"/>
      <w:contextualSpacing/>
    </w:pPr>
    <w:rPr>
      <w:rFonts w:ascii="Calibri" w:eastAsia="Times New Roman" w:hAnsi="Calibri" w:cs="Times New Roman"/>
      <w:kern w:val="0"/>
      <w:sz w:val="24"/>
      <w:szCs w:val="24"/>
      <w:lang w:val="en-GB" w:eastAsia="da-DK"/>
      <w14:ligatures w14:val="none"/>
    </w:rPr>
  </w:style>
  <w:style w:type="paragraph" w:styleId="Quote">
    <w:name w:val="Quote"/>
    <w:basedOn w:val="Normal"/>
    <w:next w:val="Normal"/>
    <w:link w:val="QuoteChar"/>
    <w:uiPriority w:val="29"/>
    <w:semiHidden/>
    <w:unhideWhenUsed/>
    <w:rsid w:val="00631188"/>
    <w:rPr>
      <w:i/>
      <w:iCs/>
      <w:color w:val="000000" w:themeColor="text1"/>
    </w:rPr>
  </w:style>
  <w:style w:type="character" w:customStyle="1" w:styleId="QuoteChar">
    <w:name w:val="Quote Char"/>
    <w:basedOn w:val="DefaultParagraphFont"/>
    <w:link w:val="Quote"/>
    <w:uiPriority w:val="29"/>
    <w:semiHidden/>
    <w:rsid w:val="00631188"/>
    <w:rPr>
      <w:rFonts w:ascii="Grundfos TheSans V2" w:hAnsi="Grundfos TheSans V2"/>
      <w:i/>
      <w:iCs/>
      <w:color w:val="000000" w:themeColor="text1"/>
      <w:sz w:val="24"/>
      <w:szCs w:val="24"/>
    </w:rPr>
  </w:style>
  <w:style w:type="paragraph" w:styleId="IntenseQuote">
    <w:name w:val="Intense Quote"/>
    <w:basedOn w:val="Normal"/>
    <w:next w:val="Normal"/>
    <w:link w:val="IntenseQuoteChar"/>
    <w:uiPriority w:val="30"/>
    <w:semiHidden/>
    <w:unhideWhenUsed/>
    <w:rsid w:val="00631188"/>
    <w:pPr>
      <w:pBdr>
        <w:bottom w:val="single" w:sz="4" w:space="4" w:color="11497B" w:themeColor="accent1"/>
      </w:pBdr>
      <w:spacing w:before="200" w:after="280"/>
      <w:ind w:left="936" w:right="936"/>
    </w:pPr>
    <w:rPr>
      <w:b/>
      <w:bCs/>
      <w:i/>
      <w:iCs/>
      <w:color w:val="11497B" w:themeColor="accent1"/>
    </w:rPr>
  </w:style>
  <w:style w:type="character" w:customStyle="1" w:styleId="IntenseQuoteChar">
    <w:name w:val="Intense Quote Char"/>
    <w:basedOn w:val="DefaultParagraphFont"/>
    <w:link w:val="IntenseQuote"/>
    <w:uiPriority w:val="30"/>
    <w:semiHidden/>
    <w:rsid w:val="00631188"/>
    <w:rPr>
      <w:rFonts w:ascii="Grundfos TheSans V2" w:hAnsi="Grundfos TheSans V2"/>
      <w:b/>
      <w:bCs/>
      <w:i/>
      <w:iCs/>
      <w:color w:val="11497B" w:themeColor="accent1"/>
      <w:sz w:val="24"/>
      <w:szCs w:val="24"/>
    </w:rPr>
  </w:style>
  <w:style w:type="character" w:styleId="SubtleEmphasis">
    <w:name w:val="Subtle Emphasis"/>
    <w:basedOn w:val="DefaultParagraphFont"/>
    <w:uiPriority w:val="19"/>
    <w:semiHidden/>
    <w:unhideWhenUsed/>
    <w:rsid w:val="00631188"/>
    <w:rPr>
      <w:i/>
      <w:iCs/>
      <w:color w:val="808080" w:themeColor="text1" w:themeTint="7F"/>
    </w:rPr>
  </w:style>
  <w:style w:type="character" w:styleId="IntenseEmphasis">
    <w:name w:val="Intense Emphasis"/>
    <w:basedOn w:val="DefaultParagraphFont"/>
    <w:uiPriority w:val="21"/>
    <w:semiHidden/>
    <w:unhideWhenUsed/>
    <w:rsid w:val="00631188"/>
    <w:rPr>
      <w:b/>
      <w:bCs/>
      <w:i/>
      <w:iCs/>
      <w:color w:val="11497B" w:themeColor="accent1"/>
    </w:rPr>
  </w:style>
  <w:style w:type="character" w:styleId="SubtleReference">
    <w:name w:val="Subtle Reference"/>
    <w:basedOn w:val="DefaultParagraphFont"/>
    <w:uiPriority w:val="31"/>
    <w:semiHidden/>
    <w:unhideWhenUsed/>
    <w:rsid w:val="00631188"/>
    <w:rPr>
      <w:smallCaps/>
      <w:color w:val="126AF3" w:themeColor="accent2"/>
      <w:u w:val="single"/>
    </w:rPr>
  </w:style>
  <w:style w:type="character" w:styleId="IntenseReference">
    <w:name w:val="Intense Reference"/>
    <w:basedOn w:val="DefaultParagraphFont"/>
    <w:uiPriority w:val="32"/>
    <w:semiHidden/>
    <w:unhideWhenUsed/>
    <w:rsid w:val="00631188"/>
    <w:rPr>
      <w:b/>
      <w:bCs/>
      <w:smallCaps/>
      <w:color w:val="126AF3" w:themeColor="accent2"/>
      <w:spacing w:val="5"/>
      <w:u w:val="single"/>
    </w:rPr>
  </w:style>
  <w:style w:type="character" w:styleId="BookTitle">
    <w:name w:val="Book Title"/>
    <w:basedOn w:val="DefaultParagraphFont"/>
    <w:uiPriority w:val="33"/>
    <w:semiHidden/>
    <w:unhideWhenUsed/>
    <w:rsid w:val="00631188"/>
    <w:rPr>
      <w:b/>
      <w:bCs/>
      <w:smallCaps/>
      <w:spacing w:val="5"/>
    </w:rPr>
  </w:style>
  <w:style w:type="paragraph" w:styleId="TOCHeading">
    <w:name w:val="TOC Heading"/>
    <w:basedOn w:val="Heading1"/>
    <w:next w:val="Normal"/>
    <w:uiPriority w:val="39"/>
    <w:unhideWhenUsed/>
    <w:rsid w:val="004C4081"/>
    <w:pPr>
      <w:keepLines/>
      <w:spacing w:before="480"/>
      <w:outlineLvl w:val="9"/>
    </w:pPr>
    <w:rPr>
      <w:rFonts w:cstheme="majorBidi"/>
    </w:rPr>
  </w:style>
  <w:style w:type="paragraph" w:styleId="Header">
    <w:name w:val="header"/>
    <w:basedOn w:val="Normal"/>
    <w:link w:val="HeaderChar"/>
    <w:semiHidden/>
    <w:rsid w:val="00924CFE"/>
    <w:pPr>
      <w:tabs>
        <w:tab w:val="center" w:pos="4986"/>
        <w:tab w:val="right" w:pos="9972"/>
      </w:tabs>
      <w:spacing w:after="0" w:line="240" w:lineRule="auto"/>
    </w:pPr>
    <w:rPr>
      <w:rFonts w:ascii="Calibri" w:eastAsia="Times New Roman" w:hAnsi="Calibri" w:cs="Times New Roman"/>
      <w:kern w:val="0"/>
      <w:sz w:val="24"/>
      <w:szCs w:val="24"/>
      <w:lang w:val="en-GB" w:eastAsia="da-DK"/>
      <w14:ligatures w14:val="none"/>
    </w:rPr>
  </w:style>
  <w:style w:type="character" w:customStyle="1" w:styleId="HeaderChar">
    <w:name w:val="Header Char"/>
    <w:basedOn w:val="DefaultParagraphFont"/>
    <w:link w:val="Header"/>
    <w:semiHidden/>
    <w:rsid w:val="00924CFE"/>
    <w:rPr>
      <w:rFonts w:ascii="Grundfos TheSans V2" w:hAnsi="Grundfos TheSans V2"/>
      <w:sz w:val="24"/>
      <w:szCs w:val="24"/>
    </w:rPr>
  </w:style>
  <w:style w:type="paragraph" w:styleId="Footer">
    <w:name w:val="footer"/>
    <w:basedOn w:val="Normal"/>
    <w:link w:val="FooterChar"/>
    <w:uiPriority w:val="99"/>
    <w:rsid w:val="00BD5DF7"/>
    <w:pPr>
      <w:tabs>
        <w:tab w:val="center" w:pos="4986"/>
        <w:tab w:val="right" w:pos="9972"/>
      </w:tabs>
      <w:spacing w:after="0" w:line="240" w:lineRule="auto"/>
    </w:pPr>
    <w:rPr>
      <w:rFonts w:ascii="Calibri" w:eastAsia="Times New Roman" w:hAnsi="Calibri" w:cs="Calibri"/>
      <w:color w:val="11497B" w:themeColor="accent1"/>
      <w:kern w:val="0"/>
      <w:sz w:val="17"/>
      <w:szCs w:val="17"/>
      <w:lang w:val="en-GB" w:eastAsia="da-DK"/>
      <w14:ligatures w14:val="none"/>
    </w:rPr>
  </w:style>
  <w:style w:type="character" w:customStyle="1" w:styleId="FooterChar">
    <w:name w:val="Footer Char"/>
    <w:basedOn w:val="DefaultParagraphFont"/>
    <w:link w:val="Footer"/>
    <w:uiPriority w:val="99"/>
    <w:rsid w:val="00BD5DF7"/>
    <w:rPr>
      <w:rFonts w:ascii="Calibri" w:hAnsi="Calibri" w:cs="Calibri"/>
      <w:color w:val="11497B" w:themeColor="accent1"/>
      <w:sz w:val="17"/>
      <w:szCs w:val="17"/>
    </w:rPr>
  </w:style>
  <w:style w:type="character" w:styleId="PlaceholderText">
    <w:name w:val="Placeholder Text"/>
    <w:basedOn w:val="DefaultParagraphFont"/>
    <w:uiPriority w:val="99"/>
    <w:semiHidden/>
    <w:rsid w:val="003E220A"/>
    <w:rPr>
      <w:color w:val="808080"/>
    </w:rPr>
  </w:style>
  <w:style w:type="table" w:styleId="TableGrid">
    <w:name w:val="Table Grid"/>
    <w:basedOn w:val="TableNormal"/>
    <w:uiPriority w:val="39"/>
    <w:rsid w:val="005502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link w:val="DateChar"/>
    <w:semiHidden/>
    <w:rsid w:val="007F626E"/>
  </w:style>
  <w:style w:type="character" w:customStyle="1" w:styleId="DateChar">
    <w:name w:val="Date Char"/>
    <w:basedOn w:val="DefaultParagraphFont"/>
    <w:link w:val="Date"/>
    <w:semiHidden/>
    <w:rsid w:val="007F626E"/>
    <w:rPr>
      <w:rFonts w:ascii="Calibri" w:hAnsi="Calibri"/>
      <w:sz w:val="24"/>
      <w:szCs w:val="24"/>
    </w:rPr>
  </w:style>
  <w:style w:type="table" w:customStyle="1" w:styleId="TabelGrundfos1">
    <w:name w:val="TabelGrundfos1"/>
    <w:basedOn w:val="TableNormal"/>
    <w:uiPriority w:val="99"/>
    <w:rsid w:val="00B841B0"/>
    <w:rPr>
      <w:rFonts w:ascii="Calibri" w:hAnsi="Calibri"/>
      <w:sz w:val="24"/>
    </w:rPr>
    <w:tblPr>
      <w:tblBorders>
        <w:top w:val="single" w:sz="4" w:space="0" w:color="126AF3" w:themeColor="accent2"/>
        <w:bottom w:val="single" w:sz="4" w:space="0" w:color="126AF3" w:themeColor="accent2"/>
        <w:insideH w:val="single" w:sz="4" w:space="0" w:color="126AF3" w:themeColor="accent2"/>
        <w:insideV w:val="single" w:sz="4" w:space="0" w:color="126AF3" w:themeColor="accent2"/>
      </w:tblBorders>
      <w:tblCellMar>
        <w:top w:w="108" w:type="dxa"/>
        <w:bottom w:w="108" w:type="dxa"/>
      </w:tblCellMar>
    </w:tblPr>
    <w:tcPr>
      <w:shd w:val="clear" w:color="auto" w:fill="auto"/>
    </w:tcPr>
    <w:tblStylePr w:type="firstRow">
      <w:rPr>
        <w:rFonts w:ascii="Calibri" w:hAnsi="Calibri"/>
        <w:b/>
        <w:color w:val="11497B" w:themeColor="accent1"/>
        <w:sz w:val="24"/>
      </w:rPr>
      <w:tblPr/>
      <w:tcPr>
        <w:shd w:val="clear" w:color="auto" w:fill="DAEDFF" w:themeFill="accent3" w:themeFillTint="33"/>
      </w:tcPr>
    </w:tblStylePr>
  </w:style>
  <w:style w:type="table" w:customStyle="1" w:styleId="TabelGrundfos2">
    <w:name w:val="TabelGrundfos2"/>
    <w:basedOn w:val="TableNormal"/>
    <w:uiPriority w:val="99"/>
    <w:rsid w:val="00F20B96"/>
    <w:rPr>
      <w:rFonts w:ascii="Calibri" w:hAnsi="Calibri"/>
      <w:sz w:val="24"/>
    </w:rPr>
    <w:tblPr>
      <w:tblStyleRowBandSize w:val="1"/>
      <w:tblBorders>
        <w:top w:val="single" w:sz="4" w:space="0" w:color="126AF3" w:themeColor="accent2"/>
        <w:bottom w:val="single" w:sz="4" w:space="0" w:color="126AF3" w:themeColor="accent2"/>
        <w:insideH w:val="single" w:sz="4" w:space="0" w:color="126AF3" w:themeColor="accent2"/>
        <w:insideV w:val="single" w:sz="4" w:space="0" w:color="126AF3" w:themeColor="accent2"/>
      </w:tblBorders>
      <w:tblCellMar>
        <w:top w:w="108" w:type="dxa"/>
        <w:bottom w:w="108" w:type="dxa"/>
      </w:tblCellMar>
    </w:tblPr>
    <w:tblStylePr w:type="firstRow">
      <w:rPr>
        <w:b/>
        <w:color w:val="FFFFFF" w:themeColor="background1"/>
      </w:rPr>
      <w:tblPr/>
      <w:tcPr>
        <w:shd w:val="clear" w:color="auto" w:fill="126AF3" w:themeFill="accent2"/>
      </w:tcPr>
    </w:tblStylePr>
  </w:style>
  <w:style w:type="table" w:customStyle="1" w:styleId="TabelGrundfos3">
    <w:name w:val="TabelGrundfos3"/>
    <w:basedOn w:val="TableNormal"/>
    <w:uiPriority w:val="99"/>
    <w:rsid w:val="002F2C6A"/>
    <w:rPr>
      <w:rFonts w:ascii="Calibri" w:hAnsi="Calibri"/>
    </w:rPr>
    <w:tblPr>
      <w:tblBorders>
        <w:top w:val="single" w:sz="4" w:space="0" w:color="11497B" w:themeColor="accent1"/>
        <w:bottom w:val="single" w:sz="4" w:space="0" w:color="11497B" w:themeColor="accent1"/>
        <w:insideH w:val="single" w:sz="4" w:space="0" w:color="11497B" w:themeColor="accent1"/>
        <w:insideV w:val="single" w:sz="4" w:space="0" w:color="11497B" w:themeColor="accent1"/>
      </w:tblBorders>
      <w:tblCellMar>
        <w:top w:w="108" w:type="dxa"/>
        <w:bottom w:w="108" w:type="dxa"/>
      </w:tblCellMar>
    </w:tblPr>
    <w:tblStylePr w:type="firstRow">
      <w:rPr>
        <w:b/>
        <w:color w:val="11497B" w:themeColor="accent1"/>
      </w:rPr>
      <w:tblPr>
        <w:tblCellMar>
          <w:top w:w="108" w:type="dxa"/>
          <w:left w:w="108" w:type="dxa"/>
          <w:bottom w:w="108" w:type="dxa"/>
          <w:right w:w="108" w:type="dxa"/>
        </w:tblCellMar>
      </w:tblPr>
      <w:tcPr>
        <w:shd w:val="clear" w:color="auto" w:fill="E9F1F7" w:themeFill="text2"/>
      </w:tcPr>
    </w:tblStylePr>
  </w:style>
  <w:style w:type="table" w:customStyle="1" w:styleId="TabelGrundfos4">
    <w:name w:val="TabelGrundfos4"/>
    <w:basedOn w:val="TableNormal"/>
    <w:uiPriority w:val="99"/>
    <w:rsid w:val="00D16A3F"/>
    <w:rPr>
      <w:rFonts w:ascii="Calibri" w:hAnsi="Calibri"/>
      <w:sz w:val="24"/>
    </w:rPr>
    <w:tblPr>
      <w:tblBorders>
        <w:top w:val="single" w:sz="4" w:space="0" w:color="11497B" w:themeColor="accent1"/>
        <w:bottom w:val="single" w:sz="4" w:space="0" w:color="11497B" w:themeColor="accent1"/>
        <w:insideH w:val="single" w:sz="4" w:space="0" w:color="11497B" w:themeColor="accent1"/>
        <w:insideV w:val="single" w:sz="4" w:space="0" w:color="11497B" w:themeColor="accent1"/>
      </w:tblBorders>
      <w:tblCellMar>
        <w:top w:w="108" w:type="dxa"/>
        <w:bottom w:w="108" w:type="dxa"/>
      </w:tblCellMar>
    </w:tblPr>
    <w:tblStylePr w:type="firstRow">
      <w:rPr>
        <w:b/>
        <w:color w:val="FFFFFF" w:themeColor="background1"/>
      </w:rPr>
      <w:tblPr/>
      <w:tcPr>
        <w:shd w:val="clear" w:color="auto" w:fill="11497B" w:themeFill="accent1"/>
      </w:tcPr>
    </w:tblStylePr>
  </w:style>
  <w:style w:type="paragraph" w:styleId="TOC1">
    <w:name w:val="toc 1"/>
    <w:basedOn w:val="Normal"/>
    <w:next w:val="Normal"/>
    <w:autoRedefine/>
    <w:uiPriority w:val="39"/>
    <w:unhideWhenUsed/>
    <w:rsid w:val="00976D4E"/>
    <w:pPr>
      <w:tabs>
        <w:tab w:val="right" w:leader="dot" w:pos="6804"/>
        <w:tab w:val="right" w:leader="dot" w:pos="9639"/>
      </w:tabs>
      <w:spacing w:after="100" w:line="240" w:lineRule="auto"/>
    </w:pPr>
    <w:rPr>
      <w:rFonts w:ascii="Calibri" w:eastAsia="Times New Roman" w:hAnsi="Calibri" w:cs="Times New Roman"/>
      <w:kern w:val="0"/>
      <w:sz w:val="24"/>
      <w:szCs w:val="24"/>
      <w:lang w:val="en-GB" w:eastAsia="da-DK"/>
      <w14:ligatures w14:val="none"/>
    </w:rPr>
  </w:style>
  <w:style w:type="paragraph" w:styleId="TOC2">
    <w:name w:val="toc 2"/>
    <w:basedOn w:val="Normal"/>
    <w:next w:val="Normal"/>
    <w:autoRedefine/>
    <w:uiPriority w:val="39"/>
    <w:unhideWhenUsed/>
    <w:rsid w:val="00012EB4"/>
    <w:pPr>
      <w:tabs>
        <w:tab w:val="right" w:leader="dot" w:pos="6804"/>
        <w:tab w:val="right" w:leader="dot" w:pos="9639"/>
      </w:tabs>
      <w:spacing w:after="100" w:line="240" w:lineRule="auto"/>
      <w:ind w:left="240"/>
    </w:pPr>
    <w:rPr>
      <w:rFonts w:ascii="Calibri" w:eastAsia="Times New Roman" w:hAnsi="Calibri" w:cs="Times New Roman"/>
      <w:kern w:val="0"/>
      <w:sz w:val="24"/>
      <w:szCs w:val="24"/>
      <w:lang w:val="en-GB" w:eastAsia="da-DK"/>
      <w14:ligatures w14:val="none"/>
    </w:rPr>
  </w:style>
  <w:style w:type="paragraph" w:styleId="TOC3">
    <w:name w:val="toc 3"/>
    <w:basedOn w:val="Normal"/>
    <w:next w:val="Normal"/>
    <w:autoRedefine/>
    <w:uiPriority w:val="39"/>
    <w:unhideWhenUsed/>
    <w:rsid w:val="007C628A"/>
    <w:pPr>
      <w:tabs>
        <w:tab w:val="right" w:leader="dot" w:pos="6804"/>
        <w:tab w:val="right" w:leader="dot" w:pos="9639"/>
      </w:tabs>
      <w:spacing w:after="100" w:line="240" w:lineRule="auto"/>
      <w:ind w:left="480"/>
    </w:pPr>
    <w:rPr>
      <w:rFonts w:ascii="Calibri" w:eastAsia="Times New Roman" w:hAnsi="Calibri" w:cs="Times New Roman"/>
      <w:kern w:val="0"/>
      <w:sz w:val="24"/>
      <w:szCs w:val="24"/>
      <w:lang w:val="en-GB" w:eastAsia="da-DK"/>
      <w14:ligatures w14:val="none"/>
    </w:rPr>
  </w:style>
  <w:style w:type="character" w:styleId="Hyperlink">
    <w:name w:val="Hyperlink"/>
    <w:basedOn w:val="DefaultParagraphFont"/>
    <w:uiPriority w:val="99"/>
    <w:unhideWhenUsed/>
    <w:rsid w:val="004C4081"/>
    <w:rPr>
      <w:color w:val="126AF3" w:themeColor="accent2"/>
      <w:u w:val="single"/>
    </w:rPr>
  </w:style>
  <w:style w:type="paragraph" w:customStyle="1" w:styleId="StyleBottomSinglesolidlineAccent2025ptLinewidth">
    <w:name w:val="Style Bottom: (Single solid line Accent 2  025 pt Line width)"/>
    <w:basedOn w:val="Normal"/>
    <w:rsid w:val="002B24D6"/>
    <w:pPr>
      <w:pBdr>
        <w:bottom w:val="single" w:sz="2" w:space="1" w:color="126AF3" w:themeColor="accent2"/>
      </w:pBdr>
      <w:spacing w:after="0" w:line="240" w:lineRule="auto"/>
    </w:pPr>
    <w:rPr>
      <w:rFonts w:ascii="Calibri" w:eastAsia="Times New Roman" w:hAnsi="Calibri" w:cs="Times New Roman"/>
      <w:color w:val="126AF3" w:themeColor="accent2"/>
      <w:kern w:val="0"/>
      <w:sz w:val="24"/>
      <w:szCs w:val="20"/>
      <w:lang w:val="en-GB" w:eastAsia="da-DK"/>
      <w14:ligatures w14:val="none"/>
    </w:rPr>
  </w:style>
  <w:style w:type="numbering" w:customStyle="1" w:styleId="GFstylebullet">
    <w:name w:val="GF style bullet"/>
    <w:uiPriority w:val="99"/>
    <w:rsid w:val="002F0E1A"/>
    <w:pPr>
      <w:numPr>
        <w:numId w:val="25"/>
      </w:numPr>
    </w:pPr>
  </w:style>
  <w:style w:type="character" w:styleId="FollowedHyperlink">
    <w:name w:val="FollowedHyperlink"/>
    <w:basedOn w:val="DefaultParagraphFont"/>
    <w:semiHidden/>
    <w:unhideWhenUsed/>
    <w:rsid w:val="00AE1299"/>
    <w:rPr>
      <w:color w:val="126AF3" w:themeColor="followedHyperlink"/>
      <w:u w:val="single"/>
    </w:rPr>
  </w:style>
  <w:style w:type="character" w:styleId="CommentReference">
    <w:name w:val="annotation reference"/>
    <w:basedOn w:val="DefaultParagraphFont"/>
    <w:uiPriority w:val="99"/>
    <w:semiHidden/>
    <w:unhideWhenUsed/>
    <w:rsid w:val="008004A4"/>
    <w:rPr>
      <w:sz w:val="16"/>
      <w:szCs w:val="16"/>
    </w:rPr>
  </w:style>
  <w:style w:type="table" w:styleId="GridTable6Colorful-Accent1">
    <w:name w:val="Grid Table 6 Colorful Accent 1"/>
    <w:basedOn w:val="TableNormal"/>
    <w:uiPriority w:val="51"/>
    <w:rsid w:val="008004A4"/>
    <w:rPr>
      <w:rFonts w:asciiTheme="minorHAnsi" w:eastAsiaTheme="minorEastAsia" w:hAnsiTheme="minorHAnsi" w:cstheme="minorBidi"/>
      <w:color w:val="0C365B" w:themeColor="accent1" w:themeShade="BF"/>
      <w:kern w:val="2"/>
      <w:sz w:val="24"/>
      <w:szCs w:val="24"/>
      <w:lang w:eastAsia="ja-JP"/>
      <w14:ligatures w14:val="standardContextual"/>
    </w:rPr>
    <w:tblPr>
      <w:tblStyleRowBandSize w:val="1"/>
      <w:tblStyleColBandSize w:val="1"/>
      <w:tblBorders>
        <w:top w:val="single" w:sz="4" w:space="0" w:color="3B94E4" w:themeColor="accent1" w:themeTint="99"/>
        <w:left w:val="single" w:sz="4" w:space="0" w:color="3B94E4" w:themeColor="accent1" w:themeTint="99"/>
        <w:bottom w:val="single" w:sz="4" w:space="0" w:color="3B94E4" w:themeColor="accent1" w:themeTint="99"/>
        <w:right w:val="single" w:sz="4" w:space="0" w:color="3B94E4" w:themeColor="accent1" w:themeTint="99"/>
        <w:insideH w:val="single" w:sz="4" w:space="0" w:color="3B94E4" w:themeColor="accent1" w:themeTint="99"/>
        <w:insideV w:val="single" w:sz="4" w:space="0" w:color="3B94E4" w:themeColor="accent1" w:themeTint="99"/>
      </w:tblBorders>
    </w:tblPr>
    <w:tblStylePr w:type="firstRow">
      <w:rPr>
        <w:b/>
        <w:bCs/>
      </w:rPr>
      <w:tblPr/>
      <w:tcPr>
        <w:tcBorders>
          <w:bottom w:val="single" w:sz="12" w:space="0" w:color="3B94E4" w:themeColor="accent1" w:themeTint="99"/>
        </w:tcBorders>
      </w:tcPr>
    </w:tblStylePr>
    <w:tblStylePr w:type="lastRow">
      <w:rPr>
        <w:b/>
        <w:bCs/>
      </w:rPr>
      <w:tblPr/>
      <w:tcPr>
        <w:tcBorders>
          <w:top w:val="double" w:sz="4" w:space="0" w:color="3B94E4" w:themeColor="accent1" w:themeTint="99"/>
        </w:tcBorders>
      </w:tcPr>
    </w:tblStylePr>
    <w:tblStylePr w:type="firstCol">
      <w:rPr>
        <w:b/>
        <w:bCs/>
      </w:rPr>
    </w:tblStylePr>
    <w:tblStylePr w:type="lastCol">
      <w:rPr>
        <w:b/>
        <w:bCs/>
      </w:rPr>
    </w:tblStylePr>
    <w:tblStylePr w:type="band1Vert">
      <w:tblPr/>
      <w:tcPr>
        <w:shd w:val="clear" w:color="auto" w:fill="BDDBF6" w:themeFill="accent1" w:themeFillTint="33"/>
      </w:tcPr>
    </w:tblStylePr>
    <w:tblStylePr w:type="band1Horz">
      <w:tblPr/>
      <w:tcPr>
        <w:shd w:val="clear" w:color="auto" w:fill="BDDBF6" w:themeFill="accent1" w:themeFillTint="33"/>
      </w:tcPr>
    </w:tblStylePr>
  </w:style>
  <w:style w:type="character" w:styleId="UnresolvedMention">
    <w:name w:val="Unresolved Mention"/>
    <w:basedOn w:val="DefaultParagraphFont"/>
    <w:uiPriority w:val="99"/>
    <w:semiHidden/>
    <w:unhideWhenUsed/>
    <w:rsid w:val="00133B36"/>
    <w:rPr>
      <w:color w:val="605E5C"/>
      <w:shd w:val="clear" w:color="auto" w:fill="E1DFDD"/>
    </w:rPr>
  </w:style>
  <w:style w:type="paragraph" w:styleId="FootnoteText">
    <w:name w:val="footnote text"/>
    <w:basedOn w:val="Normal"/>
    <w:link w:val="FootnoteTextChar"/>
    <w:uiPriority w:val="99"/>
    <w:semiHidden/>
    <w:unhideWhenUsed/>
    <w:rsid w:val="00DF7C08"/>
    <w:pPr>
      <w:spacing w:after="0" w:line="240" w:lineRule="auto"/>
    </w:pPr>
    <w:rPr>
      <w:rFonts w:ascii="Figtree" w:eastAsia="Figtree" w:hAnsi="Figtree" w:cs="Figtree"/>
      <w:color w:val="0F2C3D"/>
      <w:kern w:val="0"/>
      <w:sz w:val="20"/>
      <w:lang w:val="en-IE" w:eastAsia="ja-JP"/>
      <w14:ligatures w14:val="none"/>
    </w:rPr>
  </w:style>
  <w:style w:type="character" w:customStyle="1" w:styleId="FootnoteTextChar">
    <w:name w:val="Footnote Text Char"/>
    <w:basedOn w:val="DefaultParagraphFont"/>
    <w:link w:val="FootnoteText"/>
    <w:uiPriority w:val="99"/>
    <w:semiHidden/>
    <w:rsid w:val="00DF7C08"/>
    <w:rPr>
      <w:rFonts w:ascii="Figtree" w:eastAsia="Figtree" w:hAnsi="Figtree" w:cs="Figtree"/>
      <w:color w:val="0F2C3D"/>
      <w:szCs w:val="22"/>
      <w:lang w:val="en-IE" w:eastAsia="ja-JP"/>
    </w:rPr>
  </w:style>
  <w:style w:type="character" w:styleId="FootnoteReference">
    <w:name w:val="footnote reference"/>
    <w:basedOn w:val="DefaultParagraphFont"/>
    <w:uiPriority w:val="99"/>
    <w:unhideWhenUsed/>
    <w:rsid w:val="00DF7C08"/>
    <w:rPr>
      <w:vertAlign w:val="superscript"/>
    </w:rPr>
  </w:style>
  <w:style w:type="character" w:customStyle="1" w:styleId="s1">
    <w:name w:val="s1"/>
    <w:basedOn w:val="DefaultParagraphFont"/>
    <w:rsid w:val="00D0250E"/>
    <w:rPr>
      <w:rFonts w:ascii=".SFUI-Regular" w:hAnsi=".SFUI-Regular" w:hint="default"/>
      <w:b w:val="0"/>
      <w:bCs w:val="0"/>
      <w:i w:val="0"/>
      <w:iCs w:val="0"/>
      <w:sz w:val="24"/>
      <w:szCs w:val="24"/>
    </w:rPr>
  </w:style>
  <w:style w:type="paragraph" w:customStyle="1" w:styleId="paragraph">
    <w:name w:val="paragraph"/>
    <w:basedOn w:val="Normal"/>
    <w:rsid w:val="00917AF1"/>
    <w:pPr>
      <w:spacing w:before="100" w:beforeAutospacing="1" w:after="100" w:afterAutospacing="1" w:line="240" w:lineRule="auto"/>
    </w:pPr>
    <w:rPr>
      <w:rFonts w:ascii="Times New Roman" w:eastAsia="Times New Roman" w:hAnsi="Times New Roman" w:cs="Times New Roman"/>
      <w:kern w:val="0"/>
      <w:sz w:val="24"/>
      <w:szCs w:val="24"/>
      <w:lang w:eastAsia="ja-JP"/>
      <w14:ligatures w14:val="none"/>
    </w:rPr>
  </w:style>
  <w:style w:type="character" w:customStyle="1" w:styleId="normaltextrun">
    <w:name w:val="normaltextrun"/>
    <w:basedOn w:val="DefaultParagraphFont"/>
    <w:rsid w:val="00917AF1"/>
  </w:style>
  <w:style w:type="character" w:customStyle="1" w:styleId="eop">
    <w:name w:val="eop"/>
    <w:basedOn w:val="DefaultParagraphFont"/>
    <w:rsid w:val="00917AF1"/>
  </w:style>
  <w:style w:type="paragraph" w:styleId="NormalWeb">
    <w:name w:val="Normal (Web)"/>
    <w:basedOn w:val="Normal"/>
    <w:uiPriority w:val="99"/>
    <w:unhideWhenUsed/>
    <w:rsid w:val="00093F72"/>
    <w:pPr>
      <w:spacing w:before="100" w:beforeAutospacing="1" w:after="100" w:afterAutospacing="1" w:line="240" w:lineRule="auto"/>
    </w:pPr>
    <w:rPr>
      <w:rFonts w:ascii="Times New Roman" w:eastAsia="Times New Roman" w:hAnsi="Times New Roman" w:cs="Times New Roman"/>
      <w:kern w:val="0"/>
      <w:sz w:val="24"/>
      <w:szCs w:val="24"/>
      <w:lang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9278153">
      <w:bodyDiv w:val="1"/>
      <w:marLeft w:val="0"/>
      <w:marRight w:val="0"/>
      <w:marTop w:val="0"/>
      <w:marBottom w:val="0"/>
      <w:divBdr>
        <w:top w:val="none" w:sz="0" w:space="0" w:color="auto"/>
        <w:left w:val="none" w:sz="0" w:space="0" w:color="auto"/>
        <w:bottom w:val="none" w:sz="0" w:space="0" w:color="auto"/>
        <w:right w:val="none" w:sz="0" w:space="0" w:color="auto"/>
      </w:divBdr>
    </w:div>
    <w:div w:id="837617429">
      <w:bodyDiv w:val="1"/>
      <w:marLeft w:val="0"/>
      <w:marRight w:val="0"/>
      <w:marTop w:val="0"/>
      <w:marBottom w:val="0"/>
      <w:divBdr>
        <w:top w:val="none" w:sz="0" w:space="0" w:color="auto"/>
        <w:left w:val="none" w:sz="0" w:space="0" w:color="auto"/>
        <w:bottom w:val="none" w:sz="0" w:space="0" w:color="auto"/>
        <w:right w:val="none" w:sz="0" w:space="0" w:color="auto"/>
      </w:divBdr>
      <w:divsChild>
        <w:div w:id="2091002539">
          <w:marLeft w:val="0"/>
          <w:marRight w:val="0"/>
          <w:marTop w:val="0"/>
          <w:marBottom w:val="0"/>
          <w:divBdr>
            <w:top w:val="none" w:sz="0" w:space="0" w:color="auto"/>
            <w:left w:val="none" w:sz="0" w:space="0" w:color="auto"/>
            <w:bottom w:val="none" w:sz="0" w:space="0" w:color="auto"/>
            <w:right w:val="none" w:sz="0" w:space="0" w:color="auto"/>
          </w:divBdr>
        </w:div>
        <w:div w:id="2044674112">
          <w:marLeft w:val="0"/>
          <w:marRight w:val="0"/>
          <w:marTop w:val="0"/>
          <w:marBottom w:val="0"/>
          <w:divBdr>
            <w:top w:val="none" w:sz="0" w:space="0" w:color="auto"/>
            <w:left w:val="none" w:sz="0" w:space="0" w:color="auto"/>
            <w:bottom w:val="none" w:sz="0" w:space="0" w:color="auto"/>
            <w:right w:val="none" w:sz="0" w:space="0" w:color="auto"/>
          </w:divBdr>
        </w:div>
        <w:div w:id="70154186">
          <w:marLeft w:val="0"/>
          <w:marRight w:val="0"/>
          <w:marTop w:val="0"/>
          <w:marBottom w:val="0"/>
          <w:divBdr>
            <w:top w:val="none" w:sz="0" w:space="0" w:color="auto"/>
            <w:left w:val="none" w:sz="0" w:space="0" w:color="auto"/>
            <w:bottom w:val="none" w:sz="0" w:space="0" w:color="auto"/>
            <w:right w:val="none" w:sz="0" w:space="0" w:color="auto"/>
          </w:divBdr>
        </w:div>
        <w:div w:id="814877243">
          <w:marLeft w:val="0"/>
          <w:marRight w:val="0"/>
          <w:marTop w:val="0"/>
          <w:marBottom w:val="0"/>
          <w:divBdr>
            <w:top w:val="none" w:sz="0" w:space="0" w:color="auto"/>
            <w:left w:val="none" w:sz="0" w:space="0" w:color="auto"/>
            <w:bottom w:val="none" w:sz="0" w:space="0" w:color="auto"/>
            <w:right w:val="none" w:sz="0" w:space="0" w:color="auto"/>
          </w:divBdr>
        </w:div>
        <w:div w:id="116146528">
          <w:marLeft w:val="0"/>
          <w:marRight w:val="0"/>
          <w:marTop w:val="0"/>
          <w:marBottom w:val="0"/>
          <w:divBdr>
            <w:top w:val="none" w:sz="0" w:space="0" w:color="auto"/>
            <w:left w:val="none" w:sz="0" w:space="0" w:color="auto"/>
            <w:bottom w:val="none" w:sz="0" w:space="0" w:color="auto"/>
            <w:right w:val="none" w:sz="0" w:space="0" w:color="auto"/>
          </w:divBdr>
        </w:div>
        <w:div w:id="417796536">
          <w:marLeft w:val="0"/>
          <w:marRight w:val="0"/>
          <w:marTop w:val="0"/>
          <w:marBottom w:val="0"/>
          <w:divBdr>
            <w:top w:val="none" w:sz="0" w:space="0" w:color="auto"/>
            <w:left w:val="none" w:sz="0" w:space="0" w:color="auto"/>
            <w:bottom w:val="none" w:sz="0" w:space="0" w:color="auto"/>
            <w:right w:val="none" w:sz="0" w:space="0" w:color="auto"/>
          </w:divBdr>
        </w:div>
        <w:div w:id="1415544455">
          <w:marLeft w:val="0"/>
          <w:marRight w:val="0"/>
          <w:marTop w:val="0"/>
          <w:marBottom w:val="0"/>
          <w:divBdr>
            <w:top w:val="none" w:sz="0" w:space="0" w:color="auto"/>
            <w:left w:val="none" w:sz="0" w:space="0" w:color="auto"/>
            <w:bottom w:val="none" w:sz="0" w:space="0" w:color="auto"/>
            <w:right w:val="none" w:sz="0" w:space="0" w:color="auto"/>
          </w:divBdr>
        </w:div>
        <w:div w:id="1003438384">
          <w:marLeft w:val="0"/>
          <w:marRight w:val="0"/>
          <w:marTop w:val="0"/>
          <w:marBottom w:val="0"/>
          <w:divBdr>
            <w:top w:val="none" w:sz="0" w:space="0" w:color="auto"/>
            <w:left w:val="none" w:sz="0" w:space="0" w:color="auto"/>
            <w:bottom w:val="none" w:sz="0" w:space="0" w:color="auto"/>
            <w:right w:val="none" w:sz="0" w:space="0" w:color="auto"/>
          </w:divBdr>
        </w:div>
        <w:div w:id="1857111930">
          <w:marLeft w:val="0"/>
          <w:marRight w:val="0"/>
          <w:marTop w:val="0"/>
          <w:marBottom w:val="0"/>
          <w:divBdr>
            <w:top w:val="none" w:sz="0" w:space="0" w:color="auto"/>
            <w:left w:val="none" w:sz="0" w:space="0" w:color="auto"/>
            <w:bottom w:val="none" w:sz="0" w:space="0" w:color="auto"/>
            <w:right w:val="none" w:sz="0" w:space="0" w:color="auto"/>
          </w:divBdr>
        </w:div>
        <w:div w:id="808133580">
          <w:marLeft w:val="0"/>
          <w:marRight w:val="0"/>
          <w:marTop w:val="0"/>
          <w:marBottom w:val="0"/>
          <w:divBdr>
            <w:top w:val="none" w:sz="0" w:space="0" w:color="auto"/>
            <w:left w:val="none" w:sz="0" w:space="0" w:color="auto"/>
            <w:bottom w:val="none" w:sz="0" w:space="0" w:color="auto"/>
            <w:right w:val="none" w:sz="0" w:space="0" w:color="auto"/>
          </w:divBdr>
        </w:div>
        <w:div w:id="1773477845">
          <w:marLeft w:val="0"/>
          <w:marRight w:val="0"/>
          <w:marTop w:val="0"/>
          <w:marBottom w:val="0"/>
          <w:divBdr>
            <w:top w:val="none" w:sz="0" w:space="0" w:color="auto"/>
            <w:left w:val="none" w:sz="0" w:space="0" w:color="auto"/>
            <w:bottom w:val="none" w:sz="0" w:space="0" w:color="auto"/>
            <w:right w:val="none" w:sz="0" w:space="0" w:color="auto"/>
          </w:divBdr>
        </w:div>
        <w:div w:id="1115365616">
          <w:marLeft w:val="0"/>
          <w:marRight w:val="0"/>
          <w:marTop w:val="0"/>
          <w:marBottom w:val="0"/>
          <w:divBdr>
            <w:top w:val="none" w:sz="0" w:space="0" w:color="auto"/>
            <w:left w:val="none" w:sz="0" w:space="0" w:color="auto"/>
            <w:bottom w:val="none" w:sz="0" w:space="0" w:color="auto"/>
            <w:right w:val="none" w:sz="0" w:space="0" w:color="auto"/>
          </w:divBdr>
        </w:div>
        <w:div w:id="581959928">
          <w:marLeft w:val="0"/>
          <w:marRight w:val="0"/>
          <w:marTop w:val="0"/>
          <w:marBottom w:val="0"/>
          <w:divBdr>
            <w:top w:val="none" w:sz="0" w:space="0" w:color="auto"/>
            <w:left w:val="none" w:sz="0" w:space="0" w:color="auto"/>
            <w:bottom w:val="none" w:sz="0" w:space="0" w:color="auto"/>
            <w:right w:val="none" w:sz="0" w:space="0" w:color="auto"/>
          </w:divBdr>
        </w:div>
        <w:div w:id="723410055">
          <w:marLeft w:val="0"/>
          <w:marRight w:val="0"/>
          <w:marTop w:val="0"/>
          <w:marBottom w:val="0"/>
          <w:divBdr>
            <w:top w:val="none" w:sz="0" w:space="0" w:color="auto"/>
            <w:left w:val="none" w:sz="0" w:space="0" w:color="auto"/>
            <w:bottom w:val="none" w:sz="0" w:space="0" w:color="auto"/>
            <w:right w:val="none" w:sz="0" w:space="0" w:color="auto"/>
          </w:divBdr>
        </w:div>
        <w:div w:id="1474983050">
          <w:marLeft w:val="0"/>
          <w:marRight w:val="0"/>
          <w:marTop w:val="0"/>
          <w:marBottom w:val="0"/>
          <w:divBdr>
            <w:top w:val="none" w:sz="0" w:space="0" w:color="auto"/>
            <w:left w:val="none" w:sz="0" w:space="0" w:color="auto"/>
            <w:bottom w:val="none" w:sz="0" w:space="0" w:color="auto"/>
            <w:right w:val="none" w:sz="0" w:space="0" w:color="auto"/>
          </w:divBdr>
        </w:div>
        <w:div w:id="2133859367">
          <w:marLeft w:val="0"/>
          <w:marRight w:val="0"/>
          <w:marTop w:val="0"/>
          <w:marBottom w:val="0"/>
          <w:divBdr>
            <w:top w:val="none" w:sz="0" w:space="0" w:color="auto"/>
            <w:left w:val="none" w:sz="0" w:space="0" w:color="auto"/>
            <w:bottom w:val="none" w:sz="0" w:space="0" w:color="auto"/>
            <w:right w:val="none" w:sz="0" w:space="0" w:color="auto"/>
          </w:divBdr>
        </w:div>
        <w:div w:id="357242673">
          <w:marLeft w:val="0"/>
          <w:marRight w:val="0"/>
          <w:marTop w:val="0"/>
          <w:marBottom w:val="0"/>
          <w:divBdr>
            <w:top w:val="none" w:sz="0" w:space="0" w:color="auto"/>
            <w:left w:val="none" w:sz="0" w:space="0" w:color="auto"/>
            <w:bottom w:val="none" w:sz="0" w:space="0" w:color="auto"/>
            <w:right w:val="none" w:sz="0" w:space="0" w:color="auto"/>
          </w:divBdr>
        </w:div>
      </w:divsChild>
    </w:div>
    <w:div w:id="1058043601">
      <w:bodyDiv w:val="1"/>
      <w:marLeft w:val="0"/>
      <w:marRight w:val="0"/>
      <w:marTop w:val="0"/>
      <w:marBottom w:val="0"/>
      <w:divBdr>
        <w:top w:val="none" w:sz="0" w:space="0" w:color="auto"/>
        <w:left w:val="none" w:sz="0" w:space="0" w:color="auto"/>
        <w:bottom w:val="none" w:sz="0" w:space="0" w:color="auto"/>
        <w:right w:val="none" w:sz="0" w:space="0" w:color="auto"/>
      </w:divBdr>
    </w:div>
    <w:div w:id="1897231539">
      <w:bodyDiv w:val="1"/>
      <w:marLeft w:val="0"/>
      <w:marRight w:val="0"/>
      <w:marTop w:val="0"/>
      <w:marBottom w:val="0"/>
      <w:divBdr>
        <w:top w:val="none" w:sz="0" w:space="0" w:color="auto"/>
        <w:left w:val="none" w:sz="0" w:space="0" w:color="auto"/>
        <w:bottom w:val="none" w:sz="0" w:space="0" w:color="auto"/>
        <w:right w:val="none" w:sz="0" w:space="0" w:color="auto"/>
      </w:divBdr>
      <w:divsChild>
        <w:div w:id="1430199086">
          <w:marLeft w:val="0"/>
          <w:marRight w:val="0"/>
          <w:marTop w:val="0"/>
          <w:marBottom w:val="0"/>
          <w:divBdr>
            <w:top w:val="none" w:sz="0" w:space="0" w:color="auto"/>
            <w:left w:val="none" w:sz="0" w:space="0" w:color="auto"/>
            <w:bottom w:val="none" w:sz="0" w:space="0" w:color="auto"/>
            <w:right w:val="none" w:sz="0" w:space="0" w:color="auto"/>
          </w:divBdr>
        </w:div>
        <w:div w:id="1084303429">
          <w:marLeft w:val="0"/>
          <w:marRight w:val="0"/>
          <w:marTop w:val="0"/>
          <w:marBottom w:val="0"/>
          <w:divBdr>
            <w:top w:val="none" w:sz="0" w:space="0" w:color="auto"/>
            <w:left w:val="none" w:sz="0" w:space="0" w:color="auto"/>
            <w:bottom w:val="none" w:sz="0" w:space="0" w:color="auto"/>
            <w:right w:val="none" w:sz="0" w:space="0" w:color="auto"/>
          </w:divBdr>
        </w:div>
        <w:div w:id="2130119680">
          <w:marLeft w:val="0"/>
          <w:marRight w:val="0"/>
          <w:marTop w:val="0"/>
          <w:marBottom w:val="0"/>
          <w:divBdr>
            <w:top w:val="none" w:sz="0" w:space="0" w:color="auto"/>
            <w:left w:val="none" w:sz="0" w:space="0" w:color="auto"/>
            <w:bottom w:val="none" w:sz="0" w:space="0" w:color="auto"/>
            <w:right w:val="none" w:sz="0" w:space="0" w:color="auto"/>
          </w:divBdr>
        </w:div>
        <w:div w:id="1684013147">
          <w:marLeft w:val="0"/>
          <w:marRight w:val="0"/>
          <w:marTop w:val="0"/>
          <w:marBottom w:val="0"/>
          <w:divBdr>
            <w:top w:val="none" w:sz="0" w:space="0" w:color="auto"/>
            <w:left w:val="none" w:sz="0" w:space="0" w:color="auto"/>
            <w:bottom w:val="none" w:sz="0" w:space="0" w:color="auto"/>
            <w:right w:val="none" w:sz="0" w:space="0" w:color="auto"/>
          </w:divBdr>
        </w:div>
        <w:div w:id="885989401">
          <w:marLeft w:val="0"/>
          <w:marRight w:val="0"/>
          <w:marTop w:val="0"/>
          <w:marBottom w:val="0"/>
          <w:divBdr>
            <w:top w:val="none" w:sz="0" w:space="0" w:color="auto"/>
            <w:left w:val="none" w:sz="0" w:space="0" w:color="auto"/>
            <w:bottom w:val="none" w:sz="0" w:space="0" w:color="auto"/>
            <w:right w:val="none" w:sz="0" w:space="0" w:color="auto"/>
          </w:divBdr>
        </w:div>
        <w:div w:id="2019891439">
          <w:marLeft w:val="0"/>
          <w:marRight w:val="0"/>
          <w:marTop w:val="0"/>
          <w:marBottom w:val="0"/>
          <w:divBdr>
            <w:top w:val="none" w:sz="0" w:space="0" w:color="auto"/>
            <w:left w:val="none" w:sz="0" w:space="0" w:color="auto"/>
            <w:bottom w:val="none" w:sz="0" w:space="0" w:color="auto"/>
            <w:right w:val="none" w:sz="0" w:space="0" w:color="auto"/>
          </w:divBdr>
        </w:div>
        <w:div w:id="220823360">
          <w:marLeft w:val="0"/>
          <w:marRight w:val="0"/>
          <w:marTop w:val="0"/>
          <w:marBottom w:val="0"/>
          <w:divBdr>
            <w:top w:val="none" w:sz="0" w:space="0" w:color="auto"/>
            <w:left w:val="none" w:sz="0" w:space="0" w:color="auto"/>
            <w:bottom w:val="none" w:sz="0" w:space="0" w:color="auto"/>
            <w:right w:val="none" w:sz="0" w:space="0" w:color="auto"/>
          </w:divBdr>
        </w:div>
        <w:div w:id="1747648542">
          <w:marLeft w:val="0"/>
          <w:marRight w:val="0"/>
          <w:marTop w:val="0"/>
          <w:marBottom w:val="0"/>
          <w:divBdr>
            <w:top w:val="none" w:sz="0" w:space="0" w:color="auto"/>
            <w:left w:val="none" w:sz="0" w:space="0" w:color="auto"/>
            <w:bottom w:val="none" w:sz="0" w:space="0" w:color="auto"/>
            <w:right w:val="none" w:sz="0" w:space="0" w:color="auto"/>
          </w:divBdr>
        </w:div>
        <w:div w:id="17783918">
          <w:marLeft w:val="0"/>
          <w:marRight w:val="0"/>
          <w:marTop w:val="0"/>
          <w:marBottom w:val="0"/>
          <w:divBdr>
            <w:top w:val="none" w:sz="0" w:space="0" w:color="auto"/>
            <w:left w:val="none" w:sz="0" w:space="0" w:color="auto"/>
            <w:bottom w:val="none" w:sz="0" w:space="0" w:color="auto"/>
            <w:right w:val="none" w:sz="0" w:space="0" w:color="auto"/>
          </w:divBdr>
        </w:div>
        <w:div w:id="287668436">
          <w:marLeft w:val="0"/>
          <w:marRight w:val="0"/>
          <w:marTop w:val="0"/>
          <w:marBottom w:val="0"/>
          <w:divBdr>
            <w:top w:val="none" w:sz="0" w:space="0" w:color="auto"/>
            <w:left w:val="none" w:sz="0" w:space="0" w:color="auto"/>
            <w:bottom w:val="none" w:sz="0" w:space="0" w:color="auto"/>
            <w:right w:val="none" w:sz="0" w:space="0" w:color="auto"/>
          </w:divBdr>
        </w:div>
        <w:div w:id="454367305">
          <w:marLeft w:val="0"/>
          <w:marRight w:val="0"/>
          <w:marTop w:val="0"/>
          <w:marBottom w:val="0"/>
          <w:divBdr>
            <w:top w:val="none" w:sz="0" w:space="0" w:color="auto"/>
            <w:left w:val="none" w:sz="0" w:space="0" w:color="auto"/>
            <w:bottom w:val="none" w:sz="0" w:space="0" w:color="auto"/>
            <w:right w:val="none" w:sz="0" w:space="0" w:color="auto"/>
          </w:divBdr>
        </w:div>
        <w:div w:id="669480643">
          <w:marLeft w:val="0"/>
          <w:marRight w:val="0"/>
          <w:marTop w:val="0"/>
          <w:marBottom w:val="0"/>
          <w:divBdr>
            <w:top w:val="none" w:sz="0" w:space="0" w:color="auto"/>
            <w:left w:val="none" w:sz="0" w:space="0" w:color="auto"/>
            <w:bottom w:val="none" w:sz="0" w:space="0" w:color="auto"/>
            <w:right w:val="none" w:sz="0" w:space="0" w:color="auto"/>
          </w:divBdr>
        </w:div>
        <w:div w:id="1234127068">
          <w:marLeft w:val="0"/>
          <w:marRight w:val="0"/>
          <w:marTop w:val="0"/>
          <w:marBottom w:val="0"/>
          <w:divBdr>
            <w:top w:val="none" w:sz="0" w:space="0" w:color="auto"/>
            <w:left w:val="none" w:sz="0" w:space="0" w:color="auto"/>
            <w:bottom w:val="none" w:sz="0" w:space="0" w:color="auto"/>
            <w:right w:val="none" w:sz="0" w:space="0" w:color="auto"/>
          </w:divBdr>
        </w:div>
        <w:div w:id="1333098711">
          <w:marLeft w:val="0"/>
          <w:marRight w:val="0"/>
          <w:marTop w:val="0"/>
          <w:marBottom w:val="0"/>
          <w:divBdr>
            <w:top w:val="none" w:sz="0" w:space="0" w:color="auto"/>
            <w:left w:val="none" w:sz="0" w:space="0" w:color="auto"/>
            <w:bottom w:val="none" w:sz="0" w:space="0" w:color="auto"/>
            <w:right w:val="none" w:sz="0" w:space="0" w:color="auto"/>
          </w:divBdr>
        </w:div>
        <w:div w:id="1846556408">
          <w:marLeft w:val="0"/>
          <w:marRight w:val="0"/>
          <w:marTop w:val="0"/>
          <w:marBottom w:val="0"/>
          <w:divBdr>
            <w:top w:val="none" w:sz="0" w:space="0" w:color="auto"/>
            <w:left w:val="none" w:sz="0" w:space="0" w:color="auto"/>
            <w:bottom w:val="none" w:sz="0" w:space="0" w:color="auto"/>
            <w:right w:val="none" w:sz="0" w:space="0" w:color="auto"/>
          </w:divBdr>
        </w:div>
        <w:div w:id="1317880185">
          <w:marLeft w:val="0"/>
          <w:marRight w:val="0"/>
          <w:marTop w:val="0"/>
          <w:marBottom w:val="0"/>
          <w:divBdr>
            <w:top w:val="none" w:sz="0" w:space="0" w:color="auto"/>
            <w:left w:val="none" w:sz="0" w:space="0" w:color="auto"/>
            <w:bottom w:val="none" w:sz="0" w:space="0" w:color="auto"/>
            <w:right w:val="none" w:sz="0" w:space="0" w:color="auto"/>
          </w:divBdr>
        </w:div>
        <w:div w:id="17909778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rundfos.com/press-ki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rundfos.com/new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rundfos.com/media/white-papers-and-policy-papers/every-drop-counts--how-efficiency-becomes-supply-in-the-u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rundfos.com/press-offic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73063\Downloads\Grundfos%20A4%20Logo%20Top.dotx" TargetMode="External"/></Relationships>
</file>

<file path=word/theme/theme1.xml><?xml version="1.0" encoding="utf-8"?>
<a:theme xmlns:a="http://schemas.openxmlformats.org/drawingml/2006/main" name="Grundfos_Word_Design">
  <a:themeElements>
    <a:clrScheme name="GF Colours Word 01">
      <a:dk1>
        <a:srgbClr val="000000"/>
      </a:dk1>
      <a:lt1>
        <a:srgbClr val="FFFFFF"/>
      </a:lt1>
      <a:dk2>
        <a:srgbClr val="E9F1F7"/>
      </a:dk2>
      <a:lt2>
        <a:srgbClr val="7497B2"/>
      </a:lt2>
      <a:accent1>
        <a:srgbClr val="11497B"/>
      </a:accent1>
      <a:accent2>
        <a:srgbClr val="126AF3"/>
      </a:accent2>
      <a:accent3>
        <a:srgbClr val="47A6FF"/>
      </a:accent3>
      <a:accent4>
        <a:srgbClr val="092844"/>
      </a:accent4>
      <a:accent5>
        <a:srgbClr val="E3C181"/>
      </a:accent5>
      <a:accent6>
        <a:srgbClr val="F0DDBA"/>
      </a:accent6>
      <a:hlink>
        <a:srgbClr val="126AF3"/>
      </a:hlink>
      <a:folHlink>
        <a:srgbClr val="126AF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1C9B8E9D9E86D40AF6A2D2C9426E89E" ma:contentTypeVersion="12" ma:contentTypeDescription="Create a new document." ma:contentTypeScope="" ma:versionID="21b467e7dc52968958c8147777ba66f9">
  <xsd:schema xmlns:xsd="http://www.w3.org/2001/XMLSchema" xmlns:xs="http://www.w3.org/2001/XMLSchema" xmlns:p="http://schemas.microsoft.com/office/2006/metadata/properties" xmlns:ns2="56cee835-4280-4b08-8fc1-d1afae988c22" xmlns:ns3="efac0594-626e-4695-8c62-e9ab98e0866f" targetNamespace="http://schemas.microsoft.com/office/2006/metadata/properties" ma:root="true" ma:fieldsID="afce57dbb0493c3f79fe58557091ef22" ns2:_="" ns3:_="">
    <xsd:import namespace="56cee835-4280-4b08-8fc1-d1afae988c22"/>
    <xsd:import namespace="efac0594-626e-4695-8c62-e9ab98e086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ee835-4280-4b08-8fc1-d1afae988c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e24f276-14dc-4e54-a0cf-bc34c614c50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ac0594-626e-4695-8c62-e9ab98e0866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5690695-4504-4f71-9dc8-e89720629ff4}" ma:internalName="TaxCatchAll" ma:showField="CatchAllData" ma:web="efac0594-626e-4695-8c62-e9ab98e086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fac0594-626e-4695-8c62-e9ab98e0866f" xsi:nil="true"/>
    <lcf76f155ced4ddcb4097134ff3c332f xmlns="56cee835-4280-4b08-8fc1-d1afae988c2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89CECE3-55E1-46A5-B040-D557026A7FE6}">
  <ds:schemaRefs>
    <ds:schemaRef ds:uri="http://schemas.microsoft.com/sharepoint/v3/contenttype/forms"/>
  </ds:schemaRefs>
</ds:datastoreItem>
</file>

<file path=customXml/itemProps2.xml><?xml version="1.0" encoding="utf-8"?>
<ds:datastoreItem xmlns:ds="http://schemas.openxmlformats.org/officeDocument/2006/customXml" ds:itemID="{04389C85-8BDA-4661-AC0A-79D9896D9C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ee835-4280-4b08-8fc1-d1afae988c22"/>
    <ds:schemaRef ds:uri="efac0594-626e-4695-8c62-e9ab98e086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526712-EE87-47FF-BE93-B575C9BEC573}">
  <ds:schemaRefs>
    <ds:schemaRef ds:uri="http://schemas.openxmlformats.org/officeDocument/2006/bibliography"/>
  </ds:schemaRefs>
</ds:datastoreItem>
</file>

<file path=customXml/itemProps4.xml><?xml version="1.0" encoding="utf-8"?>
<ds:datastoreItem xmlns:ds="http://schemas.openxmlformats.org/officeDocument/2006/customXml" ds:itemID="{64EDF3C3-3C61-4A57-AFD6-82AF1EE7F2F2}">
  <ds:schemaRefs>
    <ds:schemaRef ds:uri="http://schemas.microsoft.com/office/2006/metadata/properties"/>
    <ds:schemaRef ds:uri="http://schemas.microsoft.com/office/infopath/2007/PartnerControls"/>
    <ds:schemaRef ds:uri="efac0594-626e-4695-8c62-e9ab98e0866f"/>
    <ds:schemaRef ds:uri="56cee835-4280-4b08-8fc1-d1afae988c22"/>
  </ds:schemaRefs>
</ds:datastoreItem>
</file>

<file path=docProps/app.xml><?xml version="1.0" encoding="utf-8"?>
<Properties xmlns="http://schemas.openxmlformats.org/officeDocument/2006/extended-properties" xmlns:vt="http://schemas.openxmlformats.org/officeDocument/2006/docPropsVTypes">
  <Template>Grundfos A4 Logo Top</Template>
  <TotalTime>0</TotalTime>
  <Pages>3</Pages>
  <Words>813</Words>
  <Characters>5192</Characters>
  <Application>Microsoft Office Word</Application>
  <DocSecurity>8</DocSecurity>
  <Lines>92</Lines>
  <Paragraphs>45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Word document A4 - Logo top</vt:lpstr>
      <vt:lpstr/>
    </vt:vector>
  </TitlesOfParts>
  <Company/>
  <LinksUpToDate>false</LinksUpToDate>
  <CharactersWithSpaces>5960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document A4 - Logo top</dc:title>
  <dc:creator>Catalin Ciprian Kádár</dc:creator>
  <cp:lastModifiedBy>Carina Achton Nielsen</cp:lastModifiedBy>
  <cp:revision>2</cp:revision>
  <cp:lastPrinted>2012-08-31T11:50:00Z</cp:lastPrinted>
  <dcterms:created xsi:type="dcterms:W3CDTF">2026-09-23T08:21:00Z</dcterms:created>
  <dcterms:modified xsi:type="dcterms:W3CDTF">2026-09-23T08:21:00Z</dcterms:modified>
  <cp:category>2023 Blank Top</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t:lpwstr>Blank</vt:lpwstr>
  </property>
  <property fmtid="{D5CDD505-2E9C-101B-9397-08002B2CF9AE}" pid="3" name="MediaServiceImageTags">
    <vt:lpwstr/>
  </property>
  <property fmtid="{D5CDD505-2E9C-101B-9397-08002B2CF9AE}" pid="4" name="ContentTypeId">
    <vt:lpwstr>0x010100C1C9B8E9D9E86D40AF6A2D2C9426E89E</vt:lpwstr>
  </property>
  <property fmtid="{D5CDD505-2E9C-101B-9397-08002B2CF9AE}" pid="5" name="MMElement">
    <vt:lpwstr/>
  </property>
  <property fmtid="{D5CDD505-2E9C-101B-9397-08002B2CF9AE}" pid="6" name="MMScreenOrPrint">
    <vt:lpwstr/>
  </property>
  <property fmtid="{D5CDD505-2E9C-101B-9397-08002B2CF9AE}" pid="7" name="MMVariant">
    <vt:lpwstr/>
  </property>
  <property fmtid="{D5CDD505-2E9C-101B-9397-08002B2CF9AE}" pid="8" name="MMFileType">
    <vt:lpwstr/>
  </property>
  <property fmtid="{D5CDD505-2E9C-101B-9397-08002B2CF9AE}" pid="9" name="MMLogoColour">
    <vt:lpwstr/>
  </property>
  <property fmtid="{D5CDD505-2E9C-101B-9397-08002B2CF9AE}" pid="10" name="MMNavigation">
    <vt:lpwstr/>
  </property>
</Properties>
</file>