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26EF" w14:textId="719399EE" w:rsidR="00091AAC" w:rsidRPr="00BB54EE" w:rsidRDefault="007E1A7A" w:rsidP="007E42A1">
      <w:pPr>
        <w:spacing w:line="240" w:lineRule="auto"/>
        <w:jc w:val="center"/>
        <w:rPr>
          <w:rFonts w:ascii="Calibri Light" w:hAnsi="Calibri Light" w:cs="Calibri Light"/>
          <w:b/>
          <w:bCs/>
          <w:sz w:val="30"/>
          <w:szCs w:val="30"/>
        </w:rPr>
      </w:pPr>
      <w:r w:rsidRPr="007E1A7A">
        <w:rPr>
          <w:rFonts w:ascii="Calibri Light" w:hAnsi="Calibri Light" w:cs="Calibri Light"/>
          <w:b/>
          <w:bCs/>
          <w:sz w:val="30"/>
          <w:szCs w:val="30"/>
        </w:rPr>
        <w:t xml:space="preserve">Healthcare facilities could cut emissions by up to 30% through building </w:t>
      </w:r>
      <w:proofErr w:type="spellStart"/>
      <w:r w:rsidRPr="007E1A7A">
        <w:rPr>
          <w:rFonts w:ascii="Calibri Light" w:hAnsi="Calibri Light" w:cs="Calibri Light"/>
          <w:b/>
          <w:bCs/>
          <w:sz w:val="30"/>
          <w:szCs w:val="30"/>
        </w:rPr>
        <w:t>optimisation</w:t>
      </w:r>
      <w:proofErr w:type="spellEnd"/>
    </w:p>
    <w:p w14:paraId="59084EE6" w14:textId="77777777" w:rsidR="00BB54EE" w:rsidRDefault="00BB54EE" w:rsidP="00BB54EE">
      <w:pPr>
        <w:tabs>
          <w:tab w:val="num" w:pos="720"/>
        </w:tabs>
        <w:spacing w:line="240" w:lineRule="auto"/>
        <w:rPr>
          <w:rFonts w:cs="Calibri"/>
        </w:rPr>
      </w:pPr>
    </w:p>
    <w:p w14:paraId="5993197D" w14:textId="1B04BCF2" w:rsidR="007E1A7A" w:rsidRPr="007E1A7A" w:rsidRDefault="007E1A7A" w:rsidP="007E1A7A">
      <w:pPr>
        <w:spacing w:line="240" w:lineRule="auto"/>
        <w:rPr>
          <w:rFonts w:cs="Calibri"/>
        </w:rPr>
      </w:pPr>
      <w:r w:rsidRPr="007E1A7A">
        <w:rPr>
          <w:rFonts w:cs="Calibri"/>
        </w:rPr>
        <w:t>Optimising energy, ventilation, and water systems in healthcare facilities is critical to significantly reducing emissions while maintaining operational performance, according to new research conducted by Evalueserve.</w:t>
      </w:r>
    </w:p>
    <w:p w14:paraId="3E3341CC" w14:textId="1FD15141" w:rsidR="007E1A7A" w:rsidRPr="007E1A7A" w:rsidRDefault="007E1A7A" w:rsidP="007E1A7A">
      <w:pPr>
        <w:spacing w:line="240" w:lineRule="auto"/>
        <w:rPr>
          <w:rFonts w:cs="Calibri"/>
        </w:rPr>
      </w:pPr>
      <w:r w:rsidRPr="007E1A7A">
        <w:rPr>
          <w:rFonts w:cs="Calibri"/>
        </w:rPr>
        <w:t>The research identifies three persistent challenges in healthcare buildings – excessive energy use, poor air quality management, and water wastage – all of which can be significantly improved through targeted optimisation.</w:t>
      </w:r>
    </w:p>
    <w:p w14:paraId="17172F55" w14:textId="3C61D02A" w:rsidR="007E1A7A" w:rsidRPr="007E1A7A" w:rsidRDefault="007E1A7A" w:rsidP="007E1A7A">
      <w:pPr>
        <w:spacing w:line="240" w:lineRule="auto"/>
        <w:rPr>
          <w:rFonts w:cs="Calibri"/>
        </w:rPr>
      </w:pPr>
      <w:r w:rsidRPr="007E1A7A">
        <w:rPr>
          <w:rFonts w:cs="Calibri"/>
        </w:rPr>
        <w:t>Healthcare buildings are among the most resource-intensive environments in the built sector, operating continuously under strict air quality, hygiene, and reliability requirements. These conditions place sustained pressure on energy, water and ventilation systems, particularly in ageing facilities where inefficiencies are often embedded in legacy infrastructure.</w:t>
      </w:r>
    </w:p>
    <w:p w14:paraId="0C68AE82" w14:textId="0F7BA211" w:rsidR="007E1A7A" w:rsidRPr="007E1A7A" w:rsidRDefault="007E1A7A" w:rsidP="007E1A7A">
      <w:pPr>
        <w:spacing w:line="240" w:lineRule="auto"/>
        <w:rPr>
          <w:rFonts w:cs="Calibri"/>
        </w:rPr>
      </w:pPr>
      <w:r w:rsidRPr="007E1A7A">
        <w:rPr>
          <w:rFonts w:cs="Calibri"/>
        </w:rPr>
        <w:t>The research indicates that energy consumption across healthcare facilities can be reduced by up to 30% through improved system integration and optimisation.</w:t>
      </w:r>
    </w:p>
    <w:p w14:paraId="13A9B235" w14:textId="5AA4DADB" w:rsidR="007E1A7A" w:rsidRPr="007E1A7A" w:rsidRDefault="007E1A7A" w:rsidP="007E1A7A">
      <w:pPr>
        <w:spacing w:line="240" w:lineRule="auto"/>
        <w:rPr>
          <w:rFonts w:cs="Calibri"/>
        </w:rPr>
      </w:pPr>
      <w:r w:rsidRPr="007E1A7A">
        <w:rPr>
          <w:rFonts w:cs="Calibri"/>
        </w:rPr>
        <w:t>According to NHS England, the healthcare industry is estimated to account for 40% of public sector emissions in England</w:t>
      </w:r>
      <w:r>
        <w:rPr>
          <w:rStyle w:val="FootnoteReference"/>
          <w:rFonts w:cs="Calibri"/>
        </w:rPr>
        <w:footnoteReference w:id="1"/>
      </w:r>
      <w:r w:rsidRPr="007E1A7A">
        <w:rPr>
          <w:rFonts w:cs="Calibri"/>
        </w:rPr>
        <w:t>, with building-related energy use, water consumption, waste and refrigerants responsible for a significant proportion of that footprint.</w:t>
      </w:r>
    </w:p>
    <w:p w14:paraId="0800751C" w14:textId="03732247" w:rsidR="007E1A7A" w:rsidRPr="007E1A7A" w:rsidRDefault="007E1A7A" w:rsidP="007E1A7A">
      <w:pPr>
        <w:spacing w:line="240" w:lineRule="auto"/>
        <w:rPr>
          <w:rFonts w:cs="Calibri"/>
        </w:rPr>
      </w:pPr>
      <w:r w:rsidRPr="007E1A7A">
        <w:rPr>
          <w:rFonts w:cs="Calibri"/>
        </w:rPr>
        <w:t>UK initiatives including the NHS Net Zero Strategy and Public Sector Decarbonisation Scheme mean that healthcare facilities are under increasing pressure to modernise infrastructure and improve efficiency in both retrofit and new projects.</w:t>
      </w:r>
    </w:p>
    <w:p w14:paraId="5D45B17E" w14:textId="72F6B995" w:rsidR="007E1A7A" w:rsidRPr="007E1A7A" w:rsidRDefault="007E1A7A" w:rsidP="007E1A7A">
      <w:pPr>
        <w:spacing w:line="240" w:lineRule="auto"/>
        <w:rPr>
          <w:rFonts w:cs="Calibri"/>
        </w:rPr>
      </w:pPr>
      <w:r w:rsidRPr="007E1A7A">
        <w:rPr>
          <w:rFonts w:cs="Calibri"/>
        </w:rPr>
        <w:t>Excessive energy use remains one of the most significant challenges. Adoption of digital building management systems enables more accurate monitoring and control of HVAC and associated plant, helping facilities match supply with demand, reduce waste and identify faults earlier.</w:t>
      </w:r>
    </w:p>
    <w:p w14:paraId="6993038D" w14:textId="7E3A8761" w:rsidR="007E1A7A" w:rsidRPr="007E1A7A" w:rsidRDefault="007E1A7A" w:rsidP="007E1A7A">
      <w:pPr>
        <w:spacing w:line="240" w:lineRule="auto"/>
        <w:rPr>
          <w:rFonts w:cs="Calibri"/>
        </w:rPr>
      </w:pPr>
      <w:r w:rsidRPr="007E1A7A">
        <w:rPr>
          <w:rFonts w:cs="Calibri"/>
        </w:rPr>
        <w:t>Air quality requirements present a second major challenge. High air change rates are essential for infection control but drive significant heating and cooling demand, while inefficient ventilation in older systems can risk air mixing. Energy recovery ventilation systems help address this by transferring heat from exhaust to incoming air, reducing overall energy use while maintaining compliance.</w:t>
      </w:r>
    </w:p>
    <w:p w14:paraId="2E532A35" w14:textId="15754067" w:rsidR="007E1A7A" w:rsidRPr="007E1A7A" w:rsidRDefault="007E1A7A" w:rsidP="007E1A7A">
      <w:pPr>
        <w:spacing w:line="240" w:lineRule="auto"/>
        <w:rPr>
          <w:rFonts w:cs="Calibri"/>
        </w:rPr>
      </w:pPr>
      <w:r w:rsidRPr="007E1A7A">
        <w:rPr>
          <w:rFonts w:cs="Calibri"/>
        </w:rPr>
        <w:t>Water wastage is a further concern, particularly in facilities with ageing infrastructure and high demand for sanitation, sterilisation, and cooling. Measures such as low-flow technologies, pressure optimisation, leak detection and water reuse strategies – including greywater recycling – can significantly reduce consumption while maintaining hygiene and operational performance.</w:t>
      </w:r>
    </w:p>
    <w:p w14:paraId="210E7A6A" w14:textId="4E3476C0" w:rsidR="007E1A7A" w:rsidRPr="007E1A7A" w:rsidRDefault="007E1A7A" w:rsidP="007E1A7A">
      <w:pPr>
        <w:spacing w:line="240" w:lineRule="auto"/>
        <w:rPr>
          <w:rFonts w:cs="Calibri"/>
        </w:rPr>
      </w:pPr>
      <w:r w:rsidRPr="007E1A7A">
        <w:rPr>
          <w:rFonts w:cs="Calibri"/>
        </w:rPr>
        <w:t>Evalueserve’s research suggests that the strongest performance improvements are achieved when these systems are addressed through a coordinated strategy, reflecting the interdependence between energy, ventilation and water systems in complex healthcare environments.</w:t>
      </w:r>
    </w:p>
    <w:p w14:paraId="437AEC2E" w14:textId="77777777" w:rsidR="007E1A7A" w:rsidRPr="007E1A7A" w:rsidRDefault="007E1A7A" w:rsidP="007E1A7A">
      <w:pPr>
        <w:spacing w:line="240" w:lineRule="auto"/>
        <w:rPr>
          <w:rFonts w:cs="Calibri"/>
        </w:rPr>
      </w:pPr>
      <w:r w:rsidRPr="007E1A7A">
        <w:rPr>
          <w:rFonts w:cs="Calibri"/>
        </w:rPr>
        <w:t>Commenting on the findings, Ross Crighton, Senior Aftermarket Sales Manager for Grundfos Commercial Building Services, North West Europe, said:</w:t>
      </w:r>
    </w:p>
    <w:p w14:paraId="2F04E79D" w14:textId="4DBC7A97" w:rsidR="007E1A7A" w:rsidRPr="007E1A7A" w:rsidRDefault="007E1A7A" w:rsidP="007E1A7A">
      <w:pPr>
        <w:spacing w:line="240" w:lineRule="auto"/>
        <w:rPr>
          <w:rStyle w:val="Emphasis"/>
        </w:rPr>
      </w:pPr>
      <w:r w:rsidRPr="007E1A7A">
        <w:rPr>
          <w:rStyle w:val="Emphasis"/>
        </w:rPr>
        <w:lastRenderedPageBreak/>
        <w:t>“Healthcare buildings operate under some of the most demanding technical conditions of any built environment. This research reinforces that the biggest gains come from how systems work together – when energy, ventilation and water services are optimised in a coordinated way, it is possible to reduce environmental impact while maintaining the reliability these facilities depend on.</w:t>
      </w:r>
    </w:p>
    <w:p w14:paraId="3BB13419" w14:textId="52B7E0B3" w:rsidR="007E1A7A" w:rsidRPr="007E1A7A" w:rsidRDefault="007E1A7A" w:rsidP="007E1A7A">
      <w:pPr>
        <w:spacing w:line="240" w:lineRule="auto"/>
        <w:rPr>
          <w:rFonts w:cs="Calibri"/>
        </w:rPr>
      </w:pPr>
      <w:r w:rsidRPr="007E1A7A">
        <w:rPr>
          <w:rStyle w:val="Emphasis"/>
        </w:rPr>
        <w:t xml:space="preserve">“In many healthcare facilities, inefficiencies are not the result of a single system failure, but of how systems interact over time. Taking an integrated approach to building services, supported by better data and system visibility, allows operators to move from reactive maintenance to predictive, performance-led management, which is essential for both sustainability and long-term asset resilience.” </w:t>
      </w:r>
    </w:p>
    <w:p w14:paraId="61C67881" w14:textId="733417CE" w:rsidR="007E1A7A" w:rsidRPr="007E1A7A" w:rsidRDefault="007E1A7A" w:rsidP="007E1A7A">
      <w:pPr>
        <w:spacing w:line="240" w:lineRule="auto"/>
        <w:rPr>
          <w:rFonts w:cs="Calibri"/>
        </w:rPr>
      </w:pPr>
      <w:r w:rsidRPr="007E1A7A">
        <w:rPr>
          <w:rFonts w:cs="Calibri"/>
        </w:rPr>
        <w:t>As demands on healthcare infrastructure grow, building services optimisation is becoming a central consideration in the design, operation and retrofit of healthcare facilities – with learnings applicable to other high demand building types.</w:t>
      </w:r>
    </w:p>
    <w:p w14:paraId="11018E97" w14:textId="029C7731" w:rsidR="007E1A7A" w:rsidRPr="007E1A7A" w:rsidRDefault="007E1A7A" w:rsidP="007E1A7A">
      <w:pPr>
        <w:spacing w:line="240" w:lineRule="auto"/>
        <w:jc w:val="both"/>
        <w:rPr>
          <w:rFonts w:cs="Calibri"/>
        </w:rPr>
      </w:pPr>
      <w:r w:rsidRPr="007E1A7A">
        <w:rPr>
          <w:rFonts w:cs="Calibri"/>
        </w:rPr>
        <w:t xml:space="preserve">The full report is available at: </w:t>
      </w:r>
      <w:hyperlink r:id="rId11" w:history="1">
        <w:r w:rsidRPr="007E1A7A">
          <w:rPr>
            <w:rStyle w:val="Hyperlink"/>
            <w:rFonts w:cs="Calibri"/>
          </w:rPr>
          <w:t>https://product-selection.grundfos.com/uk/industries/healthcare?tab=Explore</w:t>
        </w:r>
      </w:hyperlink>
    </w:p>
    <w:p w14:paraId="36A6188A" w14:textId="417AF5D0" w:rsidR="007E1A7A" w:rsidRPr="007E1A7A" w:rsidRDefault="007E1A7A" w:rsidP="007E1A7A">
      <w:pPr>
        <w:spacing w:line="240" w:lineRule="auto"/>
        <w:rPr>
          <w:rFonts w:cs="Calibri"/>
          <w:i/>
          <w:iCs/>
        </w:rPr>
      </w:pPr>
      <w:r w:rsidRPr="007E1A7A">
        <w:rPr>
          <w:rFonts w:cs="Calibri"/>
          <w:i/>
          <w:iCs/>
        </w:rPr>
        <w:t>The research was commissioned by Grundfos and carried out independently by Evalueserve as part of ongoing analysis into the role of building services in improving sustainability performance across complex building environments.</w:t>
      </w:r>
    </w:p>
    <w:p w14:paraId="614E7C55" w14:textId="77777777" w:rsidR="007E1A7A" w:rsidRDefault="007E1A7A" w:rsidP="007E1A7A">
      <w:pPr>
        <w:spacing w:line="240" w:lineRule="auto"/>
        <w:rPr>
          <w:rFonts w:cs="Calibri"/>
          <w:b/>
          <w:bCs/>
        </w:rPr>
      </w:pPr>
    </w:p>
    <w:p w14:paraId="60E572D0" w14:textId="77777777" w:rsidR="00BB54EE" w:rsidRDefault="00BB54EE" w:rsidP="00CF2E7F">
      <w:pPr>
        <w:spacing w:after="0" w:line="240" w:lineRule="auto"/>
        <w:rPr>
          <w:rFonts w:cs="Calibri"/>
          <w:b/>
          <w:bCs/>
        </w:rPr>
      </w:pPr>
      <w:r w:rsidRPr="00BB54EE">
        <w:rPr>
          <w:rFonts w:cs="Calibri"/>
          <w:b/>
          <w:bCs/>
        </w:rPr>
        <w:t>About Grundfos</w:t>
      </w:r>
    </w:p>
    <w:p w14:paraId="42800DB1" w14:textId="3B40DA2B" w:rsidR="00D0004A" w:rsidRDefault="00BB54EE" w:rsidP="00CF2E7F">
      <w:pPr>
        <w:jc w:val="both"/>
        <w:rPr>
          <w:rFonts w:eastAsia="Tahoma" w:cs="Calibri"/>
          <w:color w:val="0C1217"/>
        </w:rPr>
      </w:pPr>
      <w:r w:rsidRPr="00CF2E7F">
        <w:rPr>
          <w:rFonts w:eastAsia="Tahoma" w:cs="Calibri"/>
          <w:color w:val="0C1217"/>
        </w:rPr>
        <w:t xml:space="preserve">Grundfos </w:t>
      </w:r>
      <w:proofErr w:type="gramStart"/>
      <w:r w:rsidRPr="00CF2E7F">
        <w:rPr>
          <w:rFonts w:eastAsia="Tahoma" w:cs="Calibri"/>
          <w:color w:val="0C1217"/>
        </w:rPr>
        <w:t>pioneers</w:t>
      </w:r>
      <w:proofErr w:type="gramEnd"/>
      <w:r w:rsidRPr="00CF2E7F">
        <w:rPr>
          <w:rFonts w:eastAsia="Tahoma" w:cs="Calibri"/>
          <w:color w:val="0C1217"/>
        </w:rPr>
        <w:t xml:space="preserve"> solutions to the world’s water and climate challenges and improves the quality of life for people. As a leading global pump and water solutions company, we promise to respect, protect, and advance the flow of water by providing energy and water efficient solutions and systems for a wide range of applications for water utilities, industries and buildings. For more information, please visit: </w:t>
      </w:r>
      <w:hyperlink r:id="rId12" w:history="1">
        <w:r w:rsidRPr="00CF2E7F">
          <w:rPr>
            <w:rStyle w:val="Hyperlink"/>
            <w:rFonts w:eastAsia="Tahoma" w:cs="Calibri"/>
          </w:rPr>
          <w:t>www.grundfos.com</w:t>
        </w:r>
      </w:hyperlink>
    </w:p>
    <w:p w14:paraId="4FF50AAF" w14:textId="77777777" w:rsidR="00CF2E7F" w:rsidRPr="00CF2E7F" w:rsidRDefault="00CF2E7F" w:rsidP="00BB54EE">
      <w:pPr>
        <w:jc w:val="both"/>
        <w:rPr>
          <w:rFonts w:cs="Calibri"/>
        </w:rPr>
      </w:pPr>
    </w:p>
    <w:tbl>
      <w:tblPr>
        <w:tblStyle w:val="TableGrid"/>
        <w:tblW w:w="9634" w:type="dxa"/>
        <w:tblLook w:val="04A0" w:firstRow="1" w:lastRow="0" w:firstColumn="1" w:lastColumn="0" w:noHBand="0" w:noVBand="1"/>
      </w:tblPr>
      <w:tblGrid>
        <w:gridCol w:w="6232"/>
        <w:gridCol w:w="3402"/>
      </w:tblGrid>
      <w:tr w:rsidR="00D0004A" w14:paraId="605AF39F" w14:textId="77777777" w:rsidTr="00D0004A">
        <w:trPr>
          <w:trHeight w:val="636"/>
        </w:trPr>
        <w:tc>
          <w:tcPr>
            <w:tcW w:w="9634" w:type="dxa"/>
            <w:gridSpan w:val="2"/>
            <w:shd w:val="clear" w:color="auto" w:fill="11497B"/>
            <w:vAlign w:val="center"/>
          </w:tcPr>
          <w:p w14:paraId="53F10508" w14:textId="77777777" w:rsidR="00D0004A" w:rsidRPr="00934FB4" w:rsidRDefault="00D0004A" w:rsidP="00D0004A">
            <w:pPr>
              <w:jc w:val="both"/>
              <w:rPr>
                <w:b/>
                <w:bCs/>
                <w:color w:val="FFFFFF" w:themeColor="background1"/>
                <w:sz w:val="22"/>
              </w:rPr>
            </w:pPr>
            <w:r w:rsidRPr="00934FB4">
              <w:rPr>
                <w:b/>
                <w:bCs/>
                <w:color w:val="FFFFFF" w:themeColor="background1"/>
                <w:sz w:val="22"/>
              </w:rPr>
              <w:t>QUICK LINKS – Get the latest news and information from Grundfos.</w:t>
            </w:r>
          </w:p>
        </w:tc>
      </w:tr>
      <w:tr w:rsidR="00D0004A" w14:paraId="30A9438A" w14:textId="77777777" w:rsidTr="00D0004A">
        <w:trPr>
          <w:trHeight w:val="636"/>
        </w:trPr>
        <w:tc>
          <w:tcPr>
            <w:tcW w:w="6232" w:type="dxa"/>
            <w:vAlign w:val="center"/>
          </w:tcPr>
          <w:p w14:paraId="1C41144C" w14:textId="77777777" w:rsidR="00D0004A" w:rsidRPr="008555DC" w:rsidRDefault="00D0004A" w:rsidP="00BB54EE">
            <w:pPr>
              <w:jc w:val="both"/>
              <w:rPr>
                <w:sz w:val="22"/>
              </w:rPr>
            </w:pPr>
            <w:r w:rsidRPr="008555DC">
              <w:rPr>
                <w:sz w:val="22"/>
              </w:rPr>
              <w:t xml:space="preserve">Read more </w:t>
            </w:r>
            <w:proofErr w:type="gramStart"/>
            <w:r w:rsidRPr="008555DC">
              <w:rPr>
                <w:sz w:val="22"/>
              </w:rPr>
              <w:t>of</w:t>
            </w:r>
            <w:proofErr w:type="gramEnd"/>
            <w:r w:rsidRPr="008555DC">
              <w:rPr>
                <w:sz w:val="22"/>
              </w:rPr>
              <w:t xml:space="preserve"> the latest updates from Grundfos.</w:t>
            </w:r>
          </w:p>
        </w:tc>
        <w:tc>
          <w:tcPr>
            <w:tcW w:w="3402" w:type="dxa"/>
            <w:vAlign w:val="center"/>
          </w:tcPr>
          <w:p w14:paraId="07B472EB" w14:textId="77777777" w:rsidR="00D0004A" w:rsidRPr="008555DC" w:rsidRDefault="00D0004A" w:rsidP="00D00B09">
            <w:pPr>
              <w:jc w:val="both"/>
              <w:rPr>
                <w:sz w:val="22"/>
              </w:rPr>
            </w:pPr>
            <w:hyperlink r:id="rId13" w:history="1">
              <w:r w:rsidRPr="008555DC">
                <w:rPr>
                  <w:rStyle w:val="Hyperlink"/>
                  <w:sz w:val="22"/>
                </w:rPr>
                <w:t>www.grundfos.com/news</w:t>
              </w:r>
            </w:hyperlink>
          </w:p>
        </w:tc>
      </w:tr>
      <w:tr w:rsidR="00D0004A" w14:paraId="34C40D00" w14:textId="77777777" w:rsidTr="00D0004A">
        <w:trPr>
          <w:trHeight w:val="636"/>
        </w:trPr>
        <w:tc>
          <w:tcPr>
            <w:tcW w:w="6232" w:type="dxa"/>
            <w:vAlign w:val="center"/>
          </w:tcPr>
          <w:p w14:paraId="6890D860" w14:textId="77777777" w:rsidR="00D0004A" w:rsidRPr="008555DC" w:rsidRDefault="00D0004A" w:rsidP="00BB54EE">
            <w:pPr>
              <w:jc w:val="both"/>
              <w:rPr>
                <w:sz w:val="22"/>
              </w:rPr>
            </w:pPr>
            <w:r w:rsidRPr="008555DC">
              <w:rPr>
                <w:sz w:val="22"/>
              </w:rPr>
              <w:t>Access our press-kit, or download images of Grundfos people, locations and products.</w:t>
            </w:r>
          </w:p>
        </w:tc>
        <w:tc>
          <w:tcPr>
            <w:tcW w:w="3402" w:type="dxa"/>
            <w:vAlign w:val="center"/>
          </w:tcPr>
          <w:p w14:paraId="17C9D383" w14:textId="77777777" w:rsidR="00D0004A" w:rsidRPr="008555DC" w:rsidRDefault="00D0004A" w:rsidP="00D00B09">
            <w:pPr>
              <w:jc w:val="both"/>
              <w:rPr>
                <w:sz w:val="22"/>
              </w:rPr>
            </w:pPr>
            <w:hyperlink r:id="rId14" w:history="1">
              <w:r w:rsidRPr="008555DC">
                <w:rPr>
                  <w:rStyle w:val="Hyperlink"/>
                  <w:sz w:val="22"/>
                </w:rPr>
                <w:t>www.grundfos.com/press-kit</w:t>
              </w:r>
            </w:hyperlink>
          </w:p>
        </w:tc>
      </w:tr>
      <w:tr w:rsidR="00D0004A" w14:paraId="72503DC1" w14:textId="77777777" w:rsidTr="00D0004A">
        <w:trPr>
          <w:trHeight w:val="636"/>
        </w:trPr>
        <w:tc>
          <w:tcPr>
            <w:tcW w:w="6232" w:type="dxa"/>
            <w:vAlign w:val="center"/>
          </w:tcPr>
          <w:p w14:paraId="60338C9E" w14:textId="77777777" w:rsidR="00D0004A" w:rsidRPr="008555DC" w:rsidRDefault="00D0004A" w:rsidP="00BB54EE">
            <w:pPr>
              <w:jc w:val="both"/>
              <w:rPr>
                <w:sz w:val="22"/>
              </w:rPr>
            </w:pPr>
            <w:r w:rsidRPr="008555DC">
              <w:rPr>
                <w:sz w:val="22"/>
              </w:rPr>
              <w:t>Get in touch! We’re happy to help with questions and enquiries from journalists and the media.</w:t>
            </w:r>
          </w:p>
        </w:tc>
        <w:tc>
          <w:tcPr>
            <w:tcW w:w="3402" w:type="dxa"/>
            <w:vAlign w:val="center"/>
          </w:tcPr>
          <w:p w14:paraId="34A67E83" w14:textId="77777777" w:rsidR="00D0004A" w:rsidRPr="008555DC" w:rsidRDefault="00D0004A" w:rsidP="00D00B09">
            <w:pPr>
              <w:jc w:val="both"/>
              <w:rPr>
                <w:sz w:val="22"/>
              </w:rPr>
            </w:pPr>
            <w:hyperlink r:id="rId15" w:history="1">
              <w:r w:rsidRPr="008555DC">
                <w:rPr>
                  <w:rStyle w:val="Hyperlink"/>
                  <w:sz w:val="22"/>
                </w:rPr>
                <w:t>www.grundfos.com/press-office</w:t>
              </w:r>
            </w:hyperlink>
          </w:p>
        </w:tc>
      </w:tr>
    </w:tbl>
    <w:p w14:paraId="443086D6" w14:textId="77777777" w:rsidR="00D0004A" w:rsidRPr="0083713C" w:rsidRDefault="00D0004A" w:rsidP="6A9ACBEA">
      <w:pPr>
        <w:rPr>
          <w:rFonts w:cs="Calibri"/>
        </w:rPr>
      </w:pPr>
    </w:p>
    <w:p w14:paraId="7709FCB3" w14:textId="77777777" w:rsidR="00091AAC" w:rsidRPr="0083713C" w:rsidRDefault="00091AAC">
      <w:pPr>
        <w:rPr>
          <w:rFonts w:cs="Calibri"/>
        </w:rPr>
      </w:pPr>
    </w:p>
    <w:sectPr w:rsidR="00091AAC" w:rsidRPr="0083713C" w:rsidSect="0083713C">
      <w:headerReference w:type="default" r:id="rId16"/>
      <w:footerReference w:type="default" r:id="rId17"/>
      <w:pgSz w:w="11906" w:h="16838" w:code="9"/>
      <w:pgMar w:top="1814" w:right="1138" w:bottom="1526" w:left="1138" w:header="93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60AED" w14:textId="77777777" w:rsidR="00033472" w:rsidRPr="00925A85" w:rsidRDefault="00033472" w:rsidP="00B62AD4">
      <w:pPr>
        <w:spacing w:after="0" w:line="240" w:lineRule="auto"/>
      </w:pPr>
      <w:r w:rsidRPr="00925A85">
        <w:separator/>
      </w:r>
    </w:p>
  </w:endnote>
  <w:endnote w:type="continuationSeparator" w:id="0">
    <w:p w14:paraId="67041AE0" w14:textId="77777777" w:rsidR="00033472" w:rsidRPr="00925A85" w:rsidRDefault="00033472" w:rsidP="00B62AD4">
      <w:pPr>
        <w:spacing w:after="0" w:line="240" w:lineRule="auto"/>
      </w:pPr>
      <w:r w:rsidRPr="00925A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gtree">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Grundfos TheSans V2">
    <w:charset w:val="00"/>
    <w:family w:val="swiss"/>
    <w:pitch w:val="variable"/>
    <w:sig w:usb0="A00002FF" w:usb1="500064BB" w:usb2="00000000" w:usb3="00000000" w:csb0="0000009F" w:csb1="00000000"/>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26771"/>
      <w:docPartObj>
        <w:docPartGallery w:val="Page Numbers (Bottom of Page)"/>
        <w:docPartUnique/>
      </w:docPartObj>
    </w:sdtPr>
    <w:sdtContent>
      <w:p w14:paraId="41733C54" w14:textId="77777777" w:rsidR="00296A32" w:rsidRPr="00296A32" w:rsidRDefault="00296A32" w:rsidP="00256C5B">
        <w:pPr>
          <w:pStyle w:val="Footer"/>
          <w:tabs>
            <w:tab w:val="clear" w:pos="4986"/>
            <w:tab w:val="clear" w:pos="9972"/>
            <w:tab w:val="center" w:pos="4982"/>
            <w:tab w:val="right" w:pos="9979"/>
          </w:tabs>
          <w:jc w:val="right"/>
        </w:pPr>
        <w:r w:rsidRPr="00296A32">
          <w:fldChar w:fldCharType="begin"/>
        </w:r>
        <w:r w:rsidRPr="00296A32">
          <w:instrText xml:space="preserve"> PAGE   \* MERGEFORMAT </w:instrText>
        </w:r>
        <w:r w:rsidRPr="00296A32">
          <w:fldChar w:fldCharType="separate"/>
        </w:r>
        <w:r w:rsidRPr="00296A32">
          <w:t>2</w:t>
        </w:r>
        <w:r w:rsidRPr="00296A32">
          <w:fldChar w:fldCharType="end"/>
        </w:r>
      </w:p>
    </w:sdtContent>
  </w:sdt>
  <w:p w14:paraId="1A5C96B7" w14:textId="727647B9" w:rsidR="6A9ACBEA" w:rsidRPr="00256C5B" w:rsidRDefault="00256C5B" w:rsidP="00256C5B">
    <w:pPr>
      <w:pStyle w:val="Footer"/>
    </w:pPr>
    <w:r w:rsidRPr="00256C5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9E8C" w14:textId="77777777" w:rsidR="00033472" w:rsidRPr="00925A85" w:rsidRDefault="00033472" w:rsidP="00B62AD4">
      <w:pPr>
        <w:spacing w:after="0" w:line="240" w:lineRule="auto"/>
      </w:pPr>
      <w:r w:rsidRPr="00925A85">
        <w:separator/>
      </w:r>
    </w:p>
  </w:footnote>
  <w:footnote w:type="continuationSeparator" w:id="0">
    <w:p w14:paraId="55C69589" w14:textId="77777777" w:rsidR="00033472" w:rsidRPr="00925A85" w:rsidRDefault="00033472" w:rsidP="00B62AD4">
      <w:pPr>
        <w:spacing w:after="0" w:line="240" w:lineRule="auto"/>
      </w:pPr>
      <w:r w:rsidRPr="00925A85">
        <w:continuationSeparator/>
      </w:r>
    </w:p>
  </w:footnote>
  <w:footnote w:id="1">
    <w:p w14:paraId="016CE784" w14:textId="78C7FFA7" w:rsidR="007E1A7A" w:rsidRPr="007E1A7A" w:rsidRDefault="007E1A7A">
      <w:pPr>
        <w:pStyle w:val="FootnoteText"/>
        <w:rPr>
          <w:lang w:val="en-US"/>
        </w:rPr>
      </w:pPr>
      <w:r>
        <w:rPr>
          <w:rStyle w:val="FootnoteReference"/>
        </w:rPr>
        <w:footnoteRef/>
      </w:r>
      <w:r>
        <w:t xml:space="preserve"> </w:t>
      </w:r>
      <w:hyperlink r:id="rId1" w:anchor=":~:text=The%20Net%20Zero%20Supplier%20Roadmap,sustainability%20journey%20and%20demonstrate%20progress" w:history="1">
        <w:r w:rsidRPr="00576A88">
          <w:rPr>
            <w:rStyle w:val="Hyperlink"/>
            <w:rFonts w:asciiTheme="minorHAnsi" w:hAnsiTheme="minorHAnsi" w:cstheme="minorHAnsi"/>
            <w:sz w:val="22"/>
            <w:lang w:val="en-US"/>
          </w:rPr>
          <w:t>https://www.england.nhs.uk/long-read/five-years-greener-nhs-progress-forward-look/#:~:text=The%20Net%20Zero%20Supplier%20Roadmap,sustainability%20journey%20and%20demonstrate%20progress</w:t>
        </w:r>
      </w:hyperlink>
      <w:r w:rsidRPr="00576A88">
        <w:rPr>
          <w:rFonts w:asciiTheme="minorHAnsi" w:hAnsiTheme="minorHAnsi" w:cstheme="minorHAnsi"/>
          <w:sz w:val="22"/>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4" w:type="dxa"/>
        <w:right w:w="0" w:type="dxa"/>
      </w:tblCellMar>
      <w:tblLook w:val="04A0" w:firstRow="1" w:lastRow="0" w:firstColumn="1" w:lastColumn="0" w:noHBand="0" w:noVBand="1"/>
    </w:tblPr>
    <w:tblGrid>
      <w:gridCol w:w="5670"/>
      <w:gridCol w:w="3966"/>
    </w:tblGrid>
    <w:tr w:rsidR="00256C5B" w:rsidRPr="001D1FCC" w14:paraId="68289BF1" w14:textId="77777777" w:rsidTr="0083713C">
      <w:trPr>
        <w:trHeight w:val="70"/>
      </w:trPr>
      <w:tc>
        <w:tcPr>
          <w:tcW w:w="5670" w:type="dxa"/>
        </w:tcPr>
        <w:p w14:paraId="3B2D10AF" w14:textId="77777777" w:rsidR="00256C5B" w:rsidRPr="001D1FCC" w:rsidRDefault="00256C5B" w:rsidP="001D1FCC">
          <w:pPr>
            <w:pStyle w:val="Footer"/>
          </w:pPr>
          <w:r w:rsidRPr="001D1FCC">
            <w:t xml:space="preserve"> </w:t>
          </w:r>
          <w:r w:rsidRPr="001D1FCC">
            <w:tab/>
          </w:r>
        </w:p>
        <w:p w14:paraId="4AE5E177" w14:textId="77777777" w:rsidR="00256C5B" w:rsidRPr="001D1FCC" w:rsidRDefault="00256C5B" w:rsidP="0083713C">
          <w:pPr>
            <w:pStyle w:val="Footer"/>
            <w:tabs>
              <w:tab w:val="left" w:pos="4986"/>
              <w:tab w:val="right" w:pos="5670"/>
            </w:tabs>
          </w:pPr>
          <w:r w:rsidRPr="00E504A2">
            <w:t>Grundfos</w:t>
          </w:r>
          <w:r w:rsidRPr="001D1FCC">
            <w:t xml:space="preserve"> </w:t>
          </w:r>
          <w:r w:rsidRPr="00E504A2">
            <w:t>News text download</w:t>
          </w:r>
          <w:r>
            <w:tab/>
          </w:r>
          <w:r>
            <w:tab/>
          </w:r>
        </w:p>
      </w:tc>
      <w:tc>
        <w:tcPr>
          <w:tcW w:w="3966" w:type="dxa"/>
        </w:tcPr>
        <w:p w14:paraId="70076E8A" w14:textId="77777777" w:rsidR="00256C5B" w:rsidRPr="001D1FCC" w:rsidRDefault="00256C5B" w:rsidP="00A9111D">
          <w:pPr>
            <w:pStyle w:val="Footer"/>
            <w:jc w:val="right"/>
          </w:pPr>
          <w:r w:rsidRPr="001D1FCC">
            <w:rPr>
              <w:noProof/>
            </w:rPr>
            <w:drawing>
              <wp:inline distT="0" distB="0" distL="0" distR="0" wp14:anchorId="2A6F9E84" wp14:editId="1720F49D">
                <wp:extent cx="1807200" cy="248400"/>
                <wp:effectExtent l="0" t="0" r="3175" b="0"/>
                <wp:docPr id="1524024705" name="Picture 1524024705"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00" cy="248400"/>
                        </a:xfrm>
                        <a:prstGeom prst="rect">
                          <a:avLst/>
                        </a:prstGeom>
                      </pic:spPr>
                    </pic:pic>
                  </a:graphicData>
                </a:graphic>
              </wp:inline>
            </w:drawing>
          </w:r>
        </w:p>
      </w:tc>
    </w:tr>
  </w:tbl>
  <w:p w14:paraId="78F35778" w14:textId="77777777" w:rsidR="00256C5B" w:rsidRPr="00A9111D" w:rsidRDefault="00256C5B" w:rsidP="00A9111D">
    <w:pPr>
      <w:pStyle w:val="Header"/>
      <w:tabs>
        <w:tab w:val="left" w:pos="3726"/>
      </w:tabs>
      <w:rPr>
        <w:rFonts w:cs="Calibri"/>
        <w:sz w:val="2"/>
        <w:szCs w:val="2"/>
      </w:rPr>
    </w:pPr>
  </w:p>
  <w:p w14:paraId="2130DC38" w14:textId="60522959" w:rsidR="6A9ACBEA" w:rsidRPr="00A9111D" w:rsidRDefault="6A9ACBEA" w:rsidP="00A9111D">
    <w:pPr>
      <w:pStyle w:val="Header"/>
      <w:tabs>
        <w:tab w:val="left" w:pos="3726"/>
      </w:tabs>
      <w:rPr>
        <w:rFonts w:cs="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51A851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024C687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35E7D5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080319"/>
    <w:multiLevelType w:val="multilevel"/>
    <w:tmpl w:val="0F7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B6B82"/>
    <w:multiLevelType w:val="hybridMultilevel"/>
    <w:tmpl w:val="1BF84568"/>
    <w:lvl w:ilvl="0" w:tplc="FD8C668C">
      <w:start w:val="1"/>
      <w:numFmt w:val="bullet"/>
      <w:lvlText w:val="-"/>
      <w:lvlJc w:val="left"/>
      <w:pPr>
        <w:ind w:left="720" w:hanging="360"/>
      </w:pPr>
      <w:rPr>
        <w:rFonts w:ascii="Aptos" w:hAnsi="Aptos" w:hint="default"/>
      </w:rPr>
    </w:lvl>
    <w:lvl w:ilvl="1" w:tplc="78C48D9C">
      <w:start w:val="1"/>
      <w:numFmt w:val="bullet"/>
      <w:lvlText w:val="o"/>
      <w:lvlJc w:val="left"/>
      <w:pPr>
        <w:ind w:left="1440" w:hanging="360"/>
      </w:pPr>
      <w:rPr>
        <w:rFonts w:ascii="Courier New" w:hAnsi="Courier New" w:hint="default"/>
      </w:rPr>
    </w:lvl>
    <w:lvl w:ilvl="2" w:tplc="0DB07574">
      <w:start w:val="1"/>
      <w:numFmt w:val="bullet"/>
      <w:lvlText w:val=""/>
      <w:lvlJc w:val="left"/>
      <w:pPr>
        <w:ind w:left="2160" w:hanging="360"/>
      </w:pPr>
      <w:rPr>
        <w:rFonts w:ascii="Wingdings" w:hAnsi="Wingdings" w:hint="default"/>
      </w:rPr>
    </w:lvl>
    <w:lvl w:ilvl="3" w:tplc="64DEFA4A">
      <w:start w:val="1"/>
      <w:numFmt w:val="bullet"/>
      <w:lvlText w:val=""/>
      <w:lvlJc w:val="left"/>
      <w:pPr>
        <w:ind w:left="2880" w:hanging="360"/>
      </w:pPr>
      <w:rPr>
        <w:rFonts w:ascii="Symbol" w:hAnsi="Symbol" w:hint="default"/>
      </w:rPr>
    </w:lvl>
    <w:lvl w:ilvl="4" w:tplc="91F4CE3C">
      <w:start w:val="1"/>
      <w:numFmt w:val="bullet"/>
      <w:lvlText w:val="o"/>
      <w:lvlJc w:val="left"/>
      <w:pPr>
        <w:ind w:left="3600" w:hanging="360"/>
      </w:pPr>
      <w:rPr>
        <w:rFonts w:ascii="Courier New" w:hAnsi="Courier New" w:hint="default"/>
      </w:rPr>
    </w:lvl>
    <w:lvl w:ilvl="5" w:tplc="5CC6B15A">
      <w:start w:val="1"/>
      <w:numFmt w:val="bullet"/>
      <w:lvlText w:val=""/>
      <w:lvlJc w:val="left"/>
      <w:pPr>
        <w:ind w:left="4320" w:hanging="360"/>
      </w:pPr>
      <w:rPr>
        <w:rFonts w:ascii="Wingdings" w:hAnsi="Wingdings" w:hint="default"/>
      </w:rPr>
    </w:lvl>
    <w:lvl w:ilvl="6" w:tplc="6AD4D38A">
      <w:start w:val="1"/>
      <w:numFmt w:val="bullet"/>
      <w:lvlText w:val=""/>
      <w:lvlJc w:val="left"/>
      <w:pPr>
        <w:ind w:left="5040" w:hanging="360"/>
      </w:pPr>
      <w:rPr>
        <w:rFonts w:ascii="Symbol" w:hAnsi="Symbol" w:hint="default"/>
      </w:rPr>
    </w:lvl>
    <w:lvl w:ilvl="7" w:tplc="0A6C0A86">
      <w:start w:val="1"/>
      <w:numFmt w:val="bullet"/>
      <w:lvlText w:val="o"/>
      <w:lvlJc w:val="left"/>
      <w:pPr>
        <w:ind w:left="5760" w:hanging="360"/>
      </w:pPr>
      <w:rPr>
        <w:rFonts w:ascii="Courier New" w:hAnsi="Courier New" w:hint="default"/>
      </w:rPr>
    </w:lvl>
    <w:lvl w:ilvl="8" w:tplc="FD122172">
      <w:start w:val="1"/>
      <w:numFmt w:val="bullet"/>
      <w:lvlText w:val=""/>
      <w:lvlJc w:val="left"/>
      <w:pPr>
        <w:ind w:left="6480" w:hanging="360"/>
      </w:pPr>
      <w:rPr>
        <w:rFonts w:ascii="Wingdings" w:hAnsi="Wingdings" w:hint="default"/>
      </w:rPr>
    </w:lvl>
  </w:abstractNum>
  <w:abstractNum w:abstractNumId="5" w15:restartNumberingAfterBreak="0">
    <w:nsid w:val="2EAF1938"/>
    <w:multiLevelType w:val="hybridMultilevel"/>
    <w:tmpl w:val="530EC126"/>
    <w:lvl w:ilvl="0" w:tplc="54F22EE6">
      <w:start w:val="1"/>
      <w:numFmt w:val="bullet"/>
      <w:lvlText w:val="-"/>
      <w:lvlJc w:val="left"/>
      <w:pPr>
        <w:ind w:left="720" w:hanging="360"/>
      </w:pPr>
      <w:rPr>
        <w:rFonts w:ascii="Aptos" w:hAnsi="Aptos" w:hint="default"/>
      </w:rPr>
    </w:lvl>
    <w:lvl w:ilvl="1" w:tplc="B57243C4">
      <w:start w:val="1"/>
      <w:numFmt w:val="bullet"/>
      <w:lvlText w:val="o"/>
      <w:lvlJc w:val="left"/>
      <w:pPr>
        <w:ind w:left="1440" w:hanging="360"/>
      </w:pPr>
      <w:rPr>
        <w:rFonts w:ascii="Courier New" w:hAnsi="Courier New" w:hint="default"/>
      </w:rPr>
    </w:lvl>
    <w:lvl w:ilvl="2" w:tplc="3CDAEB96">
      <w:start w:val="1"/>
      <w:numFmt w:val="bullet"/>
      <w:lvlText w:val=""/>
      <w:lvlJc w:val="left"/>
      <w:pPr>
        <w:ind w:left="2160" w:hanging="360"/>
      </w:pPr>
      <w:rPr>
        <w:rFonts w:ascii="Wingdings" w:hAnsi="Wingdings" w:hint="default"/>
      </w:rPr>
    </w:lvl>
    <w:lvl w:ilvl="3" w:tplc="620E07A8">
      <w:start w:val="1"/>
      <w:numFmt w:val="bullet"/>
      <w:lvlText w:val=""/>
      <w:lvlJc w:val="left"/>
      <w:pPr>
        <w:ind w:left="2880" w:hanging="360"/>
      </w:pPr>
      <w:rPr>
        <w:rFonts w:ascii="Symbol" w:hAnsi="Symbol" w:hint="default"/>
      </w:rPr>
    </w:lvl>
    <w:lvl w:ilvl="4" w:tplc="21B8F1B8">
      <w:start w:val="1"/>
      <w:numFmt w:val="bullet"/>
      <w:lvlText w:val="o"/>
      <w:lvlJc w:val="left"/>
      <w:pPr>
        <w:ind w:left="3600" w:hanging="360"/>
      </w:pPr>
      <w:rPr>
        <w:rFonts w:ascii="Courier New" w:hAnsi="Courier New" w:hint="default"/>
      </w:rPr>
    </w:lvl>
    <w:lvl w:ilvl="5" w:tplc="A31E557C">
      <w:start w:val="1"/>
      <w:numFmt w:val="bullet"/>
      <w:lvlText w:val=""/>
      <w:lvlJc w:val="left"/>
      <w:pPr>
        <w:ind w:left="4320" w:hanging="360"/>
      </w:pPr>
      <w:rPr>
        <w:rFonts w:ascii="Wingdings" w:hAnsi="Wingdings" w:hint="default"/>
      </w:rPr>
    </w:lvl>
    <w:lvl w:ilvl="6" w:tplc="E4644FFC">
      <w:start w:val="1"/>
      <w:numFmt w:val="bullet"/>
      <w:lvlText w:val=""/>
      <w:lvlJc w:val="left"/>
      <w:pPr>
        <w:ind w:left="5040" w:hanging="360"/>
      </w:pPr>
      <w:rPr>
        <w:rFonts w:ascii="Symbol" w:hAnsi="Symbol" w:hint="default"/>
      </w:rPr>
    </w:lvl>
    <w:lvl w:ilvl="7" w:tplc="04544BBA">
      <w:start w:val="1"/>
      <w:numFmt w:val="bullet"/>
      <w:lvlText w:val="o"/>
      <w:lvlJc w:val="left"/>
      <w:pPr>
        <w:ind w:left="5760" w:hanging="360"/>
      </w:pPr>
      <w:rPr>
        <w:rFonts w:ascii="Courier New" w:hAnsi="Courier New" w:hint="default"/>
      </w:rPr>
    </w:lvl>
    <w:lvl w:ilvl="8" w:tplc="8F8C612E">
      <w:start w:val="1"/>
      <w:numFmt w:val="bullet"/>
      <w:lvlText w:val=""/>
      <w:lvlJc w:val="left"/>
      <w:pPr>
        <w:ind w:left="6480" w:hanging="360"/>
      </w:pPr>
      <w:rPr>
        <w:rFonts w:ascii="Wingdings" w:hAnsi="Wingdings" w:hint="default"/>
      </w:rPr>
    </w:lvl>
  </w:abstractNum>
  <w:abstractNum w:abstractNumId="6" w15:restartNumberingAfterBreak="0">
    <w:nsid w:val="2FDAA0E3"/>
    <w:multiLevelType w:val="hybridMultilevel"/>
    <w:tmpl w:val="261A155E"/>
    <w:lvl w:ilvl="0" w:tplc="3F10B1E6">
      <w:start w:val="1"/>
      <w:numFmt w:val="bullet"/>
      <w:lvlText w:val="-"/>
      <w:lvlJc w:val="left"/>
      <w:pPr>
        <w:ind w:left="720" w:hanging="360"/>
      </w:pPr>
      <w:rPr>
        <w:rFonts w:ascii="Aptos" w:hAnsi="Aptos" w:hint="default"/>
      </w:rPr>
    </w:lvl>
    <w:lvl w:ilvl="1" w:tplc="6B44914E">
      <w:start w:val="1"/>
      <w:numFmt w:val="bullet"/>
      <w:lvlText w:val="o"/>
      <w:lvlJc w:val="left"/>
      <w:pPr>
        <w:ind w:left="1440" w:hanging="360"/>
      </w:pPr>
      <w:rPr>
        <w:rFonts w:ascii="Courier New" w:hAnsi="Courier New" w:hint="default"/>
      </w:rPr>
    </w:lvl>
    <w:lvl w:ilvl="2" w:tplc="D0422E7A">
      <w:start w:val="1"/>
      <w:numFmt w:val="bullet"/>
      <w:lvlText w:val=""/>
      <w:lvlJc w:val="left"/>
      <w:pPr>
        <w:ind w:left="2160" w:hanging="360"/>
      </w:pPr>
      <w:rPr>
        <w:rFonts w:ascii="Wingdings" w:hAnsi="Wingdings" w:hint="default"/>
      </w:rPr>
    </w:lvl>
    <w:lvl w:ilvl="3" w:tplc="7862C214">
      <w:start w:val="1"/>
      <w:numFmt w:val="bullet"/>
      <w:lvlText w:val=""/>
      <w:lvlJc w:val="left"/>
      <w:pPr>
        <w:ind w:left="2880" w:hanging="360"/>
      </w:pPr>
      <w:rPr>
        <w:rFonts w:ascii="Symbol" w:hAnsi="Symbol" w:hint="default"/>
      </w:rPr>
    </w:lvl>
    <w:lvl w:ilvl="4" w:tplc="23B2ECFE">
      <w:start w:val="1"/>
      <w:numFmt w:val="bullet"/>
      <w:lvlText w:val="o"/>
      <w:lvlJc w:val="left"/>
      <w:pPr>
        <w:ind w:left="3600" w:hanging="360"/>
      </w:pPr>
      <w:rPr>
        <w:rFonts w:ascii="Courier New" w:hAnsi="Courier New" w:hint="default"/>
      </w:rPr>
    </w:lvl>
    <w:lvl w:ilvl="5" w:tplc="65BEB476">
      <w:start w:val="1"/>
      <w:numFmt w:val="bullet"/>
      <w:lvlText w:val=""/>
      <w:lvlJc w:val="left"/>
      <w:pPr>
        <w:ind w:left="4320" w:hanging="360"/>
      </w:pPr>
      <w:rPr>
        <w:rFonts w:ascii="Wingdings" w:hAnsi="Wingdings" w:hint="default"/>
      </w:rPr>
    </w:lvl>
    <w:lvl w:ilvl="6" w:tplc="A1AA796E">
      <w:start w:val="1"/>
      <w:numFmt w:val="bullet"/>
      <w:lvlText w:val=""/>
      <w:lvlJc w:val="left"/>
      <w:pPr>
        <w:ind w:left="5040" w:hanging="360"/>
      </w:pPr>
      <w:rPr>
        <w:rFonts w:ascii="Symbol" w:hAnsi="Symbol" w:hint="default"/>
      </w:rPr>
    </w:lvl>
    <w:lvl w:ilvl="7" w:tplc="E3B4F4A0">
      <w:start w:val="1"/>
      <w:numFmt w:val="bullet"/>
      <w:lvlText w:val="o"/>
      <w:lvlJc w:val="left"/>
      <w:pPr>
        <w:ind w:left="5760" w:hanging="360"/>
      </w:pPr>
      <w:rPr>
        <w:rFonts w:ascii="Courier New" w:hAnsi="Courier New" w:hint="default"/>
      </w:rPr>
    </w:lvl>
    <w:lvl w:ilvl="8" w:tplc="4B7A1D6C">
      <w:start w:val="1"/>
      <w:numFmt w:val="bullet"/>
      <w:lvlText w:val=""/>
      <w:lvlJc w:val="left"/>
      <w:pPr>
        <w:ind w:left="6480" w:hanging="360"/>
      </w:pPr>
      <w:rPr>
        <w:rFonts w:ascii="Wingdings" w:hAnsi="Wingdings" w:hint="default"/>
      </w:rPr>
    </w:lvl>
  </w:abstractNum>
  <w:abstractNum w:abstractNumId="7" w15:restartNumberingAfterBreak="0">
    <w:nsid w:val="343E6BC0"/>
    <w:multiLevelType w:val="multilevel"/>
    <w:tmpl w:val="F1A8737A"/>
    <w:numStyleLink w:val="GFstylebullet"/>
  </w:abstractNum>
  <w:abstractNum w:abstractNumId="8" w15:restartNumberingAfterBreak="0">
    <w:nsid w:val="34FB5275"/>
    <w:multiLevelType w:val="hybridMultilevel"/>
    <w:tmpl w:val="91CA9E4E"/>
    <w:lvl w:ilvl="0" w:tplc="B712D512">
      <w:start w:val="1"/>
      <w:numFmt w:val="bullet"/>
      <w:lvlText w:val="-"/>
      <w:lvlJc w:val="left"/>
      <w:pPr>
        <w:ind w:left="720" w:hanging="360"/>
      </w:pPr>
      <w:rPr>
        <w:rFonts w:ascii="Aptos" w:hAnsi="Aptos" w:hint="default"/>
      </w:rPr>
    </w:lvl>
    <w:lvl w:ilvl="1" w:tplc="C28CF14C">
      <w:start w:val="1"/>
      <w:numFmt w:val="bullet"/>
      <w:lvlText w:val="o"/>
      <w:lvlJc w:val="left"/>
      <w:pPr>
        <w:ind w:left="1440" w:hanging="360"/>
      </w:pPr>
      <w:rPr>
        <w:rFonts w:ascii="Courier New" w:hAnsi="Courier New" w:hint="default"/>
      </w:rPr>
    </w:lvl>
    <w:lvl w:ilvl="2" w:tplc="B89E3D82">
      <w:start w:val="1"/>
      <w:numFmt w:val="bullet"/>
      <w:lvlText w:val=""/>
      <w:lvlJc w:val="left"/>
      <w:pPr>
        <w:ind w:left="2160" w:hanging="360"/>
      </w:pPr>
      <w:rPr>
        <w:rFonts w:ascii="Wingdings" w:hAnsi="Wingdings" w:hint="default"/>
      </w:rPr>
    </w:lvl>
    <w:lvl w:ilvl="3" w:tplc="30A8F07E">
      <w:start w:val="1"/>
      <w:numFmt w:val="bullet"/>
      <w:lvlText w:val=""/>
      <w:lvlJc w:val="left"/>
      <w:pPr>
        <w:ind w:left="2880" w:hanging="360"/>
      </w:pPr>
      <w:rPr>
        <w:rFonts w:ascii="Symbol" w:hAnsi="Symbol" w:hint="default"/>
      </w:rPr>
    </w:lvl>
    <w:lvl w:ilvl="4" w:tplc="ADD65C96">
      <w:start w:val="1"/>
      <w:numFmt w:val="bullet"/>
      <w:lvlText w:val="o"/>
      <w:lvlJc w:val="left"/>
      <w:pPr>
        <w:ind w:left="3600" w:hanging="360"/>
      </w:pPr>
      <w:rPr>
        <w:rFonts w:ascii="Courier New" w:hAnsi="Courier New" w:hint="default"/>
      </w:rPr>
    </w:lvl>
    <w:lvl w:ilvl="5" w:tplc="50AEB994">
      <w:start w:val="1"/>
      <w:numFmt w:val="bullet"/>
      <w:lvlText w:val=""/>
      <w:lvlJc w:val="left"/>
      <w:pPr>
        <w:ind w:left="4320" w:hanging="360"/>
      </w:pPr>
      <w:rPr>
        <w:rFonts w:ascii="Wingdings" w:hAnsi="Wingdings" w:hint="default"/>
      </w:rPr>
    </w:lvl>
    <w:lvl w:ilvl="6" w:tplc="0150CD74">
      <w:start w:val="1"/>
      <w:numFmt w:val="bullet"/>
      <w:lvlText w:val=""/>
      <w:lvlJc w:val="left"/>
      <w:pPr>
        <w:ind w:left="5040" w:hanging="360"/>
      </w:pPr>
      <w:rPr>
        <w:rFonts w:ascii="Symbol" w:hAnsi="Symbol" w:hint="default"/>
      </w:rPr>
    </w:lvl>
    <w:lvl w:ilvl="7" w:tplc="73422BDA">
      <w:start w:val="1"/>
      <w:numFmt w:val="bullet"/>
      <w:lvlText w:val="o"/>
      <w:lvlJc w:val="left"/>
      <w:pPr>
        <w:ind w:left="5760" w:hanging="360"/>
      </w:pPr>
      <w:rPr>
        <w:rFonts w:ascii="Courier New" w:hAnsi="Courier New" w:hint="default"/>
      </w:rPr>
    </w:lvl>
    <w:lvl w:ilvl="8" w:tplc="947E3E40">
      <w:start w:val="1"/>
      <w:numFmt w:val="bullet"/>
      <w:lvlText w:val=""/>
      <w:lvlJc w:val="left"/>
      <w:pPr>
        <w:ind w:left="6480" w:hanging="360"/>
      </w:pPr>
      <w:rPr>
        <w:rFonts w:ascii="Wingdings" w:hAnsi="Wingdings" w:hint="default"/>
      </w:rPr>
    </w:lvl>
  </w:abstractNum>
  <w:abstractNum w:abstractNumId="9" w15:restartNumberingAfterBreak="0">
    <w:nsid w:val="3768551A"/>
    <w:multiLevelType w:val="multilevel"/>
    <w:tmpl w:val="2970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5D15A"/>
    <w:multiLevelType w:val="hybridMultilevel"/>
    <w:tmpl w:val="3EF6EFDE"/>
    <w:lvl w:ilvl="0" w:tplc="A252D108">
      <w:start w:val="1"/>
      <w:numFmt w:val="bullet"/>
      <w:lvlText w:val="-"/>
      <w:lvlJc w:val="left"/>
      <w:pPr>
        <w:ind w:left="720" w:hanging="360"/>
      </w:pPr>
      <w:rPr>
        <w:rFonts w:ascii="Aptos" w:hAnsi="Aptos" w:hint="default"/>
      </w:rPr>
    </w:lvl>
    <w:lvl w:ilvl="1" w:tplc="DED655E2">
      <w:start w:val="1"/>
      <w:numFmt w:val="bullet"/>
      <w:lvlText w:val="o"/>
      <w:lvlJc w:val="left"/>
      <w:pPr>
        <w:ind w:left="1440" w:hanging="360"/>
      </w:pPr>
      <w:rPr>
        <w:rFonts w:ascii="Courier New" w:hAnsi="Courier New" w:hint="default"/>
      </w:rPr>
    </w:lvl>
    <w:lvl w:ilvl="2" w:tplc="46F0D096">
      <w:start w:val="1"/>
      <w:numFmt w:val="bullet"/>
      <w:lvlText w:val=""/>
      <w:lvlJc w:val="left"/>
      <w:pPr>
        <w:ind w:left="2160" w:hanging="360"/>
      </w:pPr>
      <w:rPr>
        <w:rFonts w:ascii="Wingdings" w:hAnsi="Wingdings" w:hint="default"/>
      </w:rPr>
    </w:lvl>
    <w:lvl w:ilvl="3" w:tplc="B790AACA">
      <w:start w:val="1"/>
      <w:numFmt w:val="bullet"/>
      <w:lvlText w:val=""/>
      <w:lvlJc w:val="left"/>
      <w:pPr>
        <w:ind w:left="2880" w:hanging="360"/>
      </w:pPr>
      <w:rPr>
        <w:rFonts w:ascii="Symbol" w:hAnsi="Symbol" w:hint="default"/>
      </w:rPr>
    </w:lvl>
    <w:lvl w:ilvl="4" w:tplc="93D6FDDC">
      <w:start w:val="1"/>
      <w:numFmt w:val="bullet"/>
      <w:lvlText w:val="o"/>
      <w:lvlJc w:val="left"/>
      <w:pPr>
        <w:ind w:left="3600" w:hanging="360"/>
      </w:pPr>
      <w:rPr>
        <w:rFonts w:ascii="Courier New" w:hAnsi="Courier New" w:hint="default"/>
      </w:rPr>
    </w:lvl>
    <w:lvl w:ilvl="5" w:tplc="831E9F94">
      <w:start w:val="1"/>
      <w:numFmt w:val="bullet"/>
      <w:lvlText w:val=""/>
      <w:lvlJc w:val="left"/>
      <w:pPr>
        <w:ind w:left="4320" w:hanging="360"/>
      </w:pPr>
      <w:rPr>
        <w:rFonts w:ascii="Wingdings" w:hAnsi="Wingdings" w:hint="default"/>
      </w:rPr>
    </w:lvl>
    <w:lvl w:ilvl="6" w:tplc="A282F576">
      <w:start w:val="1"/>
      <w:numFmt w:val="bullet"/>
      <w:lvlText w:val=""/>
      <w:lvlJc w:val="left"/>
      <w:pPr>
        <w:ind w:left="5040" w:hanging="360"/>
      </w:pPr>
      <w:rPr>
        <w:rFonts w:ascii="Symbol" w:hAnsi="Symbol" w:hint="default"/>
      </w:rPr>
    </w:lvl>
    <w:lvl w:ilvl="7" w:tplc="58ECA906">
      <w:start w:val="1"/>
      <w:numFmt w:val="bullet"/>
      <w:lvlText w:val="o"/>
      <w:lvlJc w:val="left"/>
      <w:pPr>
        <w:ind w:left="5760" w:hanging="360"/>
      </w:pPr>
      <w:rPr>
        <w:rFonts w:ascii="Courier New" w:hAnsi="Courier New" w:hint="default"/>
      </w:rPr>
    </w:lvl>
    <w:lvl w:ilvl="8" w:tplc="E3FCE962">
      <w:start w:val="1"/>
      <w:numFmt w:val="bullet"/>
      <w:lvlText w:val=""/>
      <w:lvlJc w:val="left"/>
      <w:pPr>
        <w:ind w:left="6480" w:hanging="360"/>
      </w:pPr>
      <w:rPr>
        <w:rFonts w:ascii="Wingdings" w:hAnsi="Wingdings" w:hint="default"/>
      </w:rPr>
    </w:lvl>
  </w:abstractNum>
  <w:abstractNum w:abstractNumId="11" w15:restartNumberingAfterBreak="0">
    <w:nsid w:val="3D04819C"/>
    <w:multiLevelType w:val="hybridMultilevel"/>
    <w:tmpl w:val="9754F1E2"/>
    <w:lvl w:ilvl="0" w:tplc="0F7A39F8">
      <w:start w:val="1"/>
      <w:numFmt w:val="bullet"/>
      <w:lvlText w:val="-"/>
      <w:lvlJc w:val="left"/>
      <w:pPr>
        <w:ind w:left="720" w:hanging="360"/>
      </w:pPr>
      <w:rPr>
        <w:rFonts w:ascii="Aptos" w:hAnsi="Aptos" w:hint="default"/>
      </w:rPr>
    </w:lvl>
    <w:lvl w:ilvl="1" w:tplc="532045AA">
      <w:start w:val="1"/>
      <w:numFmt w:val="bullet"/>
      <w:lvlText w:val="o"/>
      <w:lvlJc w:val="left"/>
      <w:pPr>
        <w:ind w:left="1440" w:hanging="360"/>
      </w:pPr>
      <w:rPr>
        <w:rFonts w:ascii="Courier New" w:hAnsi="Courier New" w:hint="default"/>
      </w:rPr>
    </w:lvl>
    <w:lvl w:ilvl="2" w:tplc="DD64E5A0">
      <w:start w:val="1"/>
      <w:numFmt w:val="bullet"/>
      <w:lvlText w:val=""/>
      <w:lvlJc w:val="left"/>
      <w:pPr>
        <w:ind w:left="2160" w:hanging="360"/>
      </w:pPr>
      <w:rPr>
        <w:rFonts w:ascii="Wingdings" w:hAnsi="Wingdings" w:hint="default"/>
      </w:rPr>
    </w:lvl>
    <w:lvl w:ilvl="3" w:tplc="AF029518">
      <w:start w:val="1"/>
      <w:numFmt w:val="bullet"/>
      <w:lvlText w:val=""/>
      <w:lvlJc w:val="left"/>
      <w:pPr>
        <w:ind w:left="2880" w:hanging="360"/>
      </w:pPr>
      <w:rPr>
        <w:rFonts w:ascii="Symbol" w:hAnsi="Symbol" w:hint="default"/>
      </w:rPr>
    </w:lvl>
    <w:lvl w:ilvl="4" w:tplc="623040EE">
      <w:start w:val="1"/>
      <w:numFmt w:val="bullet"/>
      <w:lvlText w:val="o"/>
      <w:lvlJc w:val="left"/>
      <w:pPr>
        <w:ind w:left="3600" w:hanging="360"/>
      </w:pPr>
      <w:rPr>
        <w:rFonts w:ascii="Courier New" w:hAnsi="Courier New" w:hint="default"/>
      </w:rPr>
    </w:lvl>
    <w:lvl w:ilvl="5" w:tplc="7DE06CE8">
      <w:start w:val="1"/>
      <w:numFmt w:val="bullet"/>
      <w:lvlText w:val=""/>
      <w:lvlJc w:val="left"/>
      <w:pPr>
        <w:ind w:left="4320" w:hanging="360"/>
      </w:pPr>
      <w:rPr>
        <w:rFonts w:ascii="Wingdings" w:hAnsi="Wingdings" w:hint="default"/>
      </w:rPr>
    </w:lvl>
    <w:lvl w:ilvl="6" w:tplc="63AC2EAC">
      <w:start w:val="1"/>
      <w:numFmt w:val="bullet"/>
      <w:lvlText w:val=""/>
      <w:lvlJc w:val="left"/>
      <w:pPr>
        <w:ind w:left="5040" w:hanging="360"/>
      </w:pPr>
      <w:rPr>
        <w:rFonts w:ascii="Symbol" w:hAnsi="Symbol" w:hint="default"/>
      </w:rPr>
    </w:lvl>
    <w:lvl w:ilvl="7" w:tplc="04325454">
      <w:start w:val="1"/>
      <w:numFmt w:val="bullet"/>
      <w:lvlText w:val="o"/>
      <w:lvlJc w:val="left"/>
      <w:pPr>
        <w:ind w:left="5760" w:hanging="360"/>
      </w:pPr>
      <w:rPr>
        <w:rFonts w:ascii="Courier New" w:hAnsi="Courier New" w:hint="default"/>
      </w:rPr>
    </w:lvl>
    <w:lvl w:ilvl="8" w:tplc="9D4ACAEE">
      <w:start w:val="1"/>
      <w:numFmt w:val="bullet"/>
      <w:lvlText w:val=""/>
      <w:lvlJc w:val="left"/>
      <w:pPr>
        <w:ind w:left="6480" w:hanging="360"/>
      </w:pPr>
      <w:rPr>
        <w:rFonts w:ascii="Wingdings" w:hAnsi="Wingdings" w:hint="default"/>
      </w:rPr>
    </w:lvl>
  </w:abstractNum>
  <w:abstractNum w:abstractNumId="12" w15:restartNumberingAfterBreak="0">
    <w:nsid w:val="4B595780"/>
    <w:multiLevelType w:val="multilevel"/>
    <w:tmpl w:val="F1A8737A"/>
    <w:styleLink w:val="GFstylebullet"/>
    <w:lvl w:ilvl="0">
      <w:start w:val="1"/>
      <w:numFmt w:val="bullet"/>
      <w:pStyle w:val="ListBullet"/>
      <w:lvlText w:val="•"/>
      <w:lvlJc w:val="left"/>
      <w:pPr>
        <w:ind w:left="360" w:hanging="360"/>
      </w:pPr>
      <w:rPr>
        <w:rFonts w:ascii="Calibri" w:hAnsi="Calibri" w:hint="default"/>
        <w:color w:val="11497B" w:themeColor="accent1"/>
      </w:rPr>
    </w:lvl>
    <w:lvl w:ilvl="1">
      <w:start w:val="1"/>
      <w:numFmt w:val="bullet"/>
      <w:lvlText w:val="•"/>
      <w:lvlJc w:val="left"/>
      <w:pPr>
        <w:ind w:left="714" w:hanging="354"/>
      </w:pPr>
      <w:rPr>
        <w:rFonts w:ascii="Calibri" w:hAnsi="Calibri" w:hint="default"/>
        <w:color w:val="11497B" w:themeColor="accent1"/>
      </w:rPr>
    </w:lvl>
    <w:lvl w:ilvl="2">
      <w:start w:val="1"/>
      <w:numFmt w:val="bullet"/>
      <w:lvlText w:val="•"/>
      <w:lvlJc w:val="left"/>
      <w:pPr>
        <w:ind w:left="1072" w:hanging="358"/>
      </w:pPr>
      <w:rPr>
        <w:rFonts w:ascii="Calibri" w:hAnsi="Calibri" w:hint="default"/>
        <w:color w:val="11497B" w:themeColor="accent1"/>
      </w:rPr>
    </w:lvl>
    <w:lvl w:ilvl="3">
      <w:start w:val="1"/>
      <w:numFmt w:val="bullet"/>
      <w:lvlText w:val="•"/>
      <w:lvlJc w:val="left"/>
      <w:pPr>
        <w:ind w:left="1429" w:hanging="357"/>
      </w:pPr>
      <w:rPr>
        <w:rFonts w:ascii="Calibri" w:hAnsi="Calibri" w:hint="default"/>
        <w:color w:val="11497B" w:themeColor="accent1"/>
      </w:rPr>
    </w:lvl>
    <w:lvl w:ilvl="4">
      <w:start w:val="1"/>
      <w:numFmt w:val="bullet"/>
      <w:lvlText w:val="•"/>
      <w:lvlJc w:val="left"/>
      <w:pPr>
        <w:ind w:left="1786" w:hanging="357"/>
      </w:pPr>
      <w:rPr>
        <w:rFonts w:ascii="Calibri" w:hAnsi="Calibri" w:hint="default"/>
        <w:color w:val="11497B" w:themeColor="accent1"/>
      </w:rPr>
    </w:lvl>
    <w:lvl w:ilvl="5">
      <w:start w:val="1"/>
      <w:numFmt w:val="bullet"/>
      <w:lvlText w:val="•"/>
      <w:lvlJc w:val="left"/>
      <w:pPr>
        <w:ind w:left="2143" w:hanging="357"/>
      </w:pPr>
      <w:rPr>
        <w:rFonts w:ascii="Calibri" w:hAnsi="Calibri" w:hint="default"/>
        <w:color w:val="11497B" w:themeColor="accent1"/>
      </w:rPr>
    </w:lvl>
    <w:lvl w:ilvl="6">
      <w:start w:val="1"/>
      <w:numFmt w:val="bullet"/>
      <w:lvlText w:val="•"/>
      <w:lvlJc w:val="left"/>
      <w:pPr>
        <w:ind w:left="2500" w:hanging="357"/>
      </w:pPr>
      <w:rPr>
        <w:rFonts w:ascii="Calibri" w:hAnsi="Calibri" w:hint="default"/>
        <w:color w:val="11497B" w:themeColor="accent1"/>
      </w:rPr>
    </w:lvl>
    <w:lvl w:ilvl="7">
      <w:start w:val="1"/>
      <w:numFmt w:val="bullet"/>
      <w:lvlText w:val="•"/>
      <w:lvlJc w:val="left"/>
      <w:pPr>
        <w:ind w:left="2858" w:hanging="358"/>
      </w:pPr>
      <w:rPr>
        <w:rFonts w:ascii="Calibri" w:hAnsi="Calibri" w:hint="default"/>
        <w:color w:val="11497B" w:themeColor="accent1"/>
      </w:rPr>
    </w:lvl>
    <w:lvl w:ilvl="8">
      <w:start w:val="1"/>
      <w:numFmt w:val="bullet"/>
      <w:lvlText w:val="•"/>
      <w:lvlJc w:val="left"/>
      <w:pPr>
        <w:ind w:left="3215" w:hanging="357"/>
      </w:pPr>
      <w:rPr>
        <w:rFonts w:ascii="Calibri" w:hAnsi="Calibri" w:hint="default"/>
        <w:color w:val="11497B" w:themeColor="accent1"/>
      </w:rPr>
    </w:lvl>
  </w:abstractNum>
  <w:abstractNum w:abstractNumId="13" w15:restartNumberingAfterBreak="0">
    <w:nsid w:val="52A2DCD5"/>
    <w:multiLevelType w:val="hybridMultilevel"/>
    <w:tmpl w:val="7B3C24CA"/>
    <w:lvl w:ilvl="0" w:tplc="C8864BC8">
      <w:start w:val="1"/>
      <w:numFmt w:val="bullet"/>
      <w:lvlText w:val="-"/>
      <w:lvlJc w:val="left"/>
      <w:pPr>
        <w:ind w:left="720" w:hanging="360"/>
      </w:pPr>
      <w:rPr>
        <w:rFonts w:ascii="Aptos" w:hAnsi="Aptos" w:hint="default"/>
      </w:rPr>
    </w:lvl>
    <w:lvl w:ilvl="1" w:tplc="C3980F42">
      <w:start w:val="1"/>
      <w:numFmt w:val="bullet"/>
      <w:lvlText w:val="o"/>
      <w:lvlJc w:val="left"/>
      <w:pPr>
        <w:ind w:left="1440" w:hanging="360"/>
      </w:pPr>
      <w:rPr>
        <w:rFonts w:ascii="Courier New" w:hAnsi="Courier New" w:hint="default"/>
      </w:rPr>
    </w:lvl>
    <w:lvl w:ilvl="2" w:tplc="B576FFC6">
      <w:start w:val="1"/>
      <w:numFmt w:val="bullet"/>
      <w:lvlText w:val=""/>
      <w:lvlJc w:val="left"/>
      <w:pPr>
        <w:ind w:left="2160" w:hanging="360"/>
      </w:pPr>
      <w:rPr>
        <w:rFonts w:ascii="Wingdings" w:hAnsi="Wingdings" w:hint="default"/>
      </w:rPr>
    </w:lvl>
    <w:lvl w:ilvl="3" w:tplc="F22E4EF2">
      <w:start w:val="1"/>
      <w:numFmt w:val="bullet"/>
      <w:lvlText w:val=""/>
      <w:lvlJc w:val="left"/>
      <w:pPr>
        <w:ind w:left="2880" w:hanging="360"/>
      </w:pPr>
      <w:rPr>
        <w:rFonts w:ascii="Symbol" w:hAnsi="Symbol" w:hint="default"/>
      </w:rPr>
    </w:lvl>
    <w:lvl w:ilvl="4" w:tplc="E82A574E">
      <w:start w:val="1"/>
      <w:numFmt w:val="bullet"/>
      <w:lvlText w:val="o"/>
      <w:lvlJc w:val="left"/>
      <w:pPr>
        <w:ind w:left="3600" w:hanging="360"/>
      </w:pPr>
      <w:rPr>
        <w:rFonts w:ascii="Courier New" w:hAnsi="Courier New" w:hint="default"/>
      </w:rPr>
    </w:lvl>
    <w:lvl w:ilvl="5" w:tplc="B0DC5C54">
      <w:start w:val="1"/>
      <w:numFmt w:val="bullet"/>
      <w:lvlText w:val=""/>
      <w:lvlJc w:val="left"/>
      <w:pPr>
        <w:ind w:left="4320" w:hanging="360"/>
      </w:pPr>
      <w:rPr>
        <w:rFonts w:ascii="Wingdings" w:hAnsi="Wingdings" w:hint="default"/>
      </w:rPr>
    </w:lvl>
    <w:lvl w:ilvl="6" w:tplc="58D08F6E">
      <w:start w:val="1"/>
      <w:numFmt w:val="bullet"/>
      <w:lvlText w:val=""/>
      <w:lvlJc w:val="left"/>
      <w:pPr>
        <w:ind w:left="5040" w:hanging="360"/>
      </w:pPr>
      <w:rPr>
        <w:rFonts w:ascii="Symbol" w:hAnsi="Symbol" w:hint="default"/>
      </w:rPr>
    </w:lvl>
    <w:lvl w:ilvl="7" w:tplc="0AD6086C">
      <w:start w:val="1"/>
      <w:numFmt w:val="bullet"/>
      <w:lvlText w:val="o"/>
      <w:lvlJc w:val="left"/>
      <w:pPr>
        <w:ind w:left="5760" w:hanging="360"/>
      </w:pPr>
      <w:rPr>
        <w:rFonts w:ascii="Courier New" w:hAnsi="Courier New" w:hint="default"/>
      </w:rPr>
    </w:lvl>
    <w:lvl w:ilvl="8" w:tplc="9126C80C">
      <w:start w:val="1"/>
      <w:numFmt w:val="bullet"/>
      <w:lvlText w:val=""/>
      <w:lvlJc w:val="left"/>
      <w:pPr>
        <w:ind w:left="6480" w:hanging="360"/>
      </w:pPr>
      <w:rPr>
        <w:rFonts w:ascii="Wingdings" w:hAnsi="Wingdings" w:hint="default"/>
      </w:rPr>
    </w:lvl>
  </w:abstractNum>
  <w:abstractNum w:abstractNumId="14" w15:restartNumberingAfterBreak="0">
    <w:nsid w:val="5974686D"/>
    <w:multiLevelType w:val="hybridMultilevel"/>
    <w:tmpl w:val="154ECB3E"/>
    <w:lvl w:ilvl="0" w:tplc="BEE866E4">
      <w:start w:val="1"/>
      <w:numFmt w:val="bullet"/>
      <w:lvlText w:val="-"/>
      <w:lvlJc w:val="left"/>
      <w:pPr>
        <w:ind w:left="720" w:hanging="360"/>
      </w:pPr>
      <w:rPr>
        <w:rFonts w:ascii="Aptos" w:hAnsi="Aptos" w:hint="default"/>
      </w:rPr>
    </w:lvl>
    <w:lvl w:ilvl="1" w:tplc="968623E2">
      <w:start w:val="1"/>
      <w:numFmt w:val="bullet"/>
      <w:lvlText w:val="o"/>
      <w:lvlJc w:val="left"/>
      <w:pPr>
        <w:ind w:left="1440" w:hanging="360"/>
      </w:pPr>
      <w:rPr>
        <w:rFonts w:ascii="Courier New" w:hAnsi="Courier New" w:hint="default"/>
      </w:rPr>
    </w:lvl>
    <w:lvl w:ilvl="2" w:tplc="1F2422B4">
      <w:start w:val="1"/>
      <w:numFmt w:val="bullet"/>
      <w:lvlText w:val=""/>
      <w:lvlJc w:val="left"/>
      <w:pPr>
        <w:ind w:left="2160" w:hanging="360"/>
      </w:pPr>
      <w:rPr>
        <w:rFonts w:ascii="Wingdings" w:hAnsi="Wingdings" w:hint="default"/>
      </w:rPr>
    </w:lvl>
    <w:lvl w:ilvl="3" w:tplc="B7B8C010">
      <w:start w:val="1"/>
      <w:numFmt w:val="bullet"/>
      <w:lvlText w:val=""/>
      <w:lvlJc w:val="left"/>
      <w:pPr>
        <w:ind w:left="2880" w:hanging="360"/>
      </w:pPr>
      <w:rPr>
        <w:rFonts w:ascii="Symbol" w:hAnsi="Symbol" w:hint="default"/>
      </w:rPr>
    </w:lvl>
    <w:lvl w:ilvl="4" w:tplc="CD8E76B6">
      <w:start w:val="1"/>
      <w:numFmt w:val="bullet"/>
      <w:lvlText w:val="o"/>
      <w:lvlJc w:val="left"/>
      <w:pPr>
        <w:ind w:left="3600" w:hanging="360"/>
      </w:pPr>
      <w:rPr>
        <w:rFonts w:ascii="Courier New" w:hAnsi="Courier New" w:hint="default"/>
      </w:rPr>
    </w:lvl>
    <w:lvl w:ilvl="5" w:tplc="82E05306">
      <w:start w:val="1"/>
      <w:numFmt w:val="bullet"/>
      <w:lvlText w:val=""/>
      <w:lvlJc w:val="left"/>
      <w:pPr>
        <w:ind w:left="4320" w:hanging="360"/>
      </w:pPr>
      <w:rPr>
        <w:rFonts w:ascii="Wingdings" w:hAnsi="Wingdings" w:hint="default"/>
      </w:rPr>
    </w:lvl>
    <w:lvl w:ilvl="6" w:tplc="6F4C2126">
      <w:start w:val="1"/>
      <w:numFmt w:val="bullet"/>
      <w:lvlText w:val=""/>
      <w:lvlJc w:val="left"/>
      <w:pPr>
        <w:ind w:left="5040" w:hanging="360"/>
      </w:pPr>
      <w:rPr>
        <w:rFonts w:ascii="Symbol" w:hAnsi="Symbol" w:hint="default"/>
      </w:rPr>
    </w:lvl>
    <w:lvl w:ilvl="7" w:tplc="22522E54">
      <w:start w:val="1"/>
      <w:numFmt w:val="bullet"/>
      <w:lvlText w:val="o"/>
      <w:lvlJc w:val="left"/>
      <w:pPr>
        <w:ind w:left="5760" w:hanging="360"/>
      </w:pPr>
      <w:rPr>
        <w:rFonts w:ascii="Courier New" w:hAnsi="Courier New" w:hint="default"/>
      </w:rPr>
    </w:lvl>
    <w:lvl w:ilvl="8" w:tplc="D2549DCE">
      <w:start w:val="1"/>
      <w:numFmt w:val="bullet"/>
      <w:lvlText w:val=""/>
      <w:lvlJc w:val="left"/>
      <w:pPr>
        <w:ind w:left="6480" w:hanging="360"/>
      </w:pPr>
      <w:rPr>
        <w:rFonts w:ascii="Wingdings" w:hAnsi="Wingdings" w:hint="default"/>
      </w:rPr>
    </w:lvl>
  </w:abstractNum>
  <w:abstractNum w:abstractNumId="15" w15:restartNumberingAfterBreak="0">
    <w:nsid w:val="614D10B9"/>
    <w:multiLevelType w:val="multilevel"/>
    <w:tmpl w:val="7786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0F1C7"/>
    <w:multiLevelType w:val="hybridMultilevel"/>
    <w:tmpl w:val="DFA681D6"/>
    <w:lvl w:ilvl="0" w:tplc="8236B84E">
      <w:start w:val="1"/>
      <w:numFmt w:val="bullet"/>
      <w:lvlText w:val="-"/>
      <w:lvlJc w:val="left"/>
      <w:pPr>
        <w:ind w:left="720" w:hanging="360"/>
      </w:pPr>
      <w:rPr>
        <w:rFonts w:ascii="Aptos" w:hAnsi="Aptos" w:hint="default"/>
      </w:rPr>
    </w:lvl>
    <w:lvl w:ilvl="1" w:tplc="16A62A8C">
      <w:start w:val="1"/>
      <w:numFmt w:val="bullet"/>
      <w:lvlText w:val="o"/>
      <w:lvlJc w:val="left"/>
      <w:pPr>
        <w:ind w:left="1440" w:hanging="360"/>
      </w:pPr>
      <w:rPr>
        <w:rFonts w:ascii="Courier New" w:hAnsi="Courier New" w:hint="default"/>
      </w:rPr>
    </w:lvl>
    <w:lvl w:ilvl="2" w:tplc="A4F278DA">
      <w:start w:val="1"/>
      <w:numFmt w:val="bullet"/>
      <w:lvlText w:val=""/>
      <w:lvlJc w:val="left"/>
      <w:pPr>
        <w:ind w:left="2160" w:hanging="360"/>
      </w:pPr>
      <w:rPr>
        <w:rFonts w:ascii="Wingdings" w:hAnsi="Wingdings" w:hint="default"/>
      </w:rPr>
    </w:lvl>
    <w:lvl w:ilvl="3" w:tplc="B6020B2A">
      <w:start w:val="1"/>
      <w:numFmt w:val="bullet"/>
      <w:lvlText w:val=""/>
      <w:lvlJc w:val="left"/>
      <w:pPr>
        <w:ind w:left="2880" w:hanging="360"/>
      </w:pPr>
      <w:rPr>
        <w:rFonts w:ascii="Symbol" w:hAnsi="Symbol" w:hint="default"/>
      </w:rPr>
    </w:lvl>
    <w:lvl w:ilvl="4" w:tplc="BABEBFDE">
      <w:start w:val="1"/>
      <w:numFmt w:val="bullet"/>
      <w:lvlText w:val="o"/>
      <w:lvlJc w:val="left"/>
      <w:pPr>
        <w:ind w:left="3600" w:hanging="360"/>
      </w:pPr>
      <w:rPr>
        <w:rFonts w:ascii="Courier New" w:hAnsi="Courier New" w:hint="default"/>
      </w:rPr>
    </w:lvl>
    <w:lvl w:ilvl="5" w:tplc="490CD454">
      <w:start w:val="1"/>
      <w:numFmt w:val="bullet"/>
      <w:lvlText w:val=""/>
      <w:lvlJc w:val="left"/>
      <w:pPr>
        <w:ind w:left="4320" w:hanging="360"/>
      </w:pPr>
      <w:rPr>
        <w:rFonts w:ascii="Wingdings" w:hAnsi="Wingdings" w:hint="default"/>
      </w:rPr>
    </w:lvl>
    <w:lvl w:ilvl="6" w:tplc="5BC62D9A">
      <w:start w:val="1"/>
      <w:numFmt w:val="bullet"/>
      <w:lvlText w:val=""/>
      <w:lvlJc w:val="left"/>
      <w:pPr>
        <w:ind w:left="5040" w:hanging="360"/>
      </w:pPr>
      <w:rPr>
        <w:rFonts w:ascii="Symbol" w:hAnsi="Symbol" w:hint="default"/>
      </w:rPr>
    </w:lvl>
    <w:lvl w:ilvl="7" w:tplc="BBB82E2C">
      <w:start w:val="1"/>
      <w:numFmt w:val="bullet"/>
      <w:lvlText w:val="o"/>
      <w:lvlJc w:val="left"/>
      <w:pPr>
        <w:ind w:left="5760" w:hanging="360"/>
      </w:pPr>
      <w:rPr>
        <w:rFonts w:ascii="Courier New" w:hAnsi="Courier New" w:hint="default"/>
      </w:rPr>
    </w:lvl>
    <w:lvl w:ilvl="8" w:tplc="AB36C2AE">
      <w:start w:val="1"/>
      <w:numFmt w:val="bullet"/>
      <w:lvlText w:val=""/>
      <w:lvlJc w:val="left"/>
      <w:pPr>
        <w:ind w:left="6480" w:hanging="360"/>
      </w:pPr>
      <w:rPr>
        <w:rFonts w:ascii="Wingdings" w:hAnsi="Wingdings" w:hint="default"/>
      </w:rPr>
    </w:lvl>
  </w:abstractNum>
  <w:abstractNum w:abstractNumId="17" w15:restartNumberingAfterBreak="0">
    <w:nsid w:val="6F793A97"/>
    <w:multiLevelType w:val="multilevel"/>
    <w:tmpl w:val="E166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650940"/>
    <w:multiLevelType w:val="multilevel"/>
    <w:tmpl w:val="3FF4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3F2991"/>
    <w:multiLevelType w:val="multilevel"/>
    <w:tmpl w:val="B744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D65538"/>
    <w:multiLevelType w:val="multilevel"/>
    <w:tmpl w:val="0130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122EFC"/>
    <w:multiLevelType w:val="multilevel"/>
    <w:tmpl w:val="83D2877A"/>
    <w:lvl w:ilvl="0">
      <w:start w:val="1"/>
      <w:numFmt w:val="decimal"/>
      <w:pStyle w:val="ListNumber"/>
      <w:lvlText w:val="%1."/>
      <w:lvlJc w:val="left"/>
      <w:pPr>
        <w:ind w:left="360" w:hanging="360"/>
      </w:pPr>
      <w:rPr>
        <w:rFonts w:asciiTheme="minorHAnsi" w:hAnsiTheme="minorHAnsi" w:hint="default"/>
      </w:rPr>
    </w:lvl>
    <w:lvl w:ilvl="1">
      <w:start w:val="1"/>
      <w:numFmt w:val="decimal"/>
      <w:lvlText w:val="%2."/>
      <w:lvlJc w:val="left"/>
      <w:pPr>
        <w:ind w:left="714" w:hanging="354"/>
      </w:pPr>
      <w:rPr>
        <w:rFonts w:hint="default"/>
      </w:rPr>
    </w:lvl>
    <w:lvl w:ilvl="2">
      <w:start w:val="1"/>
      <w:numFmt w:val="decimal"/>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decimal"/>
      <w:lvlText w:val="%5."/>
      <w:lvlJc w:val="left"/>
      <w:pPr>
        <w:ind w:left="1786" w:hanging="357"/>
      </w:pPr>
      <w:rPr>
        <w:rFonts w:hint="default"/>
      </w:rPr>
    </w:lvl>
    <w:lvl w:ilvl="5">
      <w:start w:val="1"/>
      <w:numFmt w:val="decimal"/>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decimal"/>
      <w:lvlText w:val="%8."/>
      <w:lvlJc w:val="left"/>
      <w:pPr>
        <w:ind w:left="2858" w:hanging="358"/>
      </w:pPr>
      <w:rPr>
        <w:rFonts w:hint="default"/>
      </w:rPr>
    </w:lvl>
    <w:lvl w:ilvl="8">
      <w:start w:val="1"/>
      <w:numFmt w:val="decimal"/>
      <w:lvlText w:val="%9."/>
      <w:lvlJc w:val="left"/>
      <w:pPr>
        <w:ind w:left="3215" w:hanging="357"/>
      </w:pPr>
      <w:rPr>
        <w:rFonts w:hint="default"/>
      </w:rPr>
    </w:lvl>
  </w:abstractNum>
  <w:num w:numId="1" w16cid:durableId="604267698">
    <w:abstractNumId w:val="8"/>
  </w:num>
  <w:num w:numId="2" w16cid:durableId="1869950456">
    <w:abstractNumId w:val="13"/>
  </w:num>
  <w:num w:numId="3" w16cid:durableId="37626165">
    <w:abstractNumId w:val="11"/>
  </w:num>
  <w:num w:numId="4" w16cid:durableId="1408378461">
    <w:abstractNumId w:val="4"/>
  </w:num>
  <w:num w:numId="5" w16cid:durableId="1675380547">
    <w:abstractNumId w:val="10"/>
  </w:num>
  <w:num w:numId="6" w16cid:durableId="1780947114">
    <w:abstractNumId w:val="6"/>
  </w:num>
  <w:num w:numId="7" w16cid:durableId="1195849263">
    <w:abstractNumId w:val="14"/>
  </w:num>
  <w:num w:numId="8" w16cid:durableId="861091860">
    <w:abstractNumId w:val="5"/>
  </w:num>
  <w:num w:numId="9" w16cid:durableId="1908371946">
    <w:abstractNumId w:val="16"/>
  </w:num>
  <w:num w:numId="10" w16cid:durableId="1304194815">
    <w:abstractNumId w:val="9"/>
  </w:num>
  <w:num w:numId="11" w16cid:durableId="844830821">
    <w:abstractNumId w:val="17"/>
  </w:num>
  <w:num w:numId="12" w16cid:durableId="2129231412">
    <w:abstractNumId w:val="19"/>
  </w:num>
  <w:num w:numId="13" w16cid:durableId="473647969">
    <w:abstractNumId w:val="15"/>
  </w:num>
  <w:num w:numId="14" w16cid:durableId="461465389">
    <w:abstractNumId w:val="3"/>
  </w:num>
  <w:num w:numId="15" w16cid:durableId="937368011">
    <w:abstractNumId w:val="18"/>
  </w:num>
  <w:num w:numId="16" w16cid:durableId="794102049">
    <w:abstractNumId w:val="20"/>
  </w:num>
  <w:num w:numId="17" w16cid:durableId="1245342390">
    <w:abstractNumId w:val="12"/>
  </w:num>
  <w:num w:numId="18" w16cid:durableId="2060863307">
    <w:abstractNumId w:val="2"/>
  </w:num>
  <w:num w:numId="19" w16cid:durableId="1284654471">
    <w:abstractNumId w:val="7"/>
  </w:num>
  <w:num w:numId="20" w16cid:durableId="2124810817">
    <w:abstractNumId w:val="0"/>
  </w:num>
  <w:num w:numId="21" w16cid:durableId="1168443568">
    <w:abstractNumId w:val="7"/>
  </w:num>
  <w:num w:numId="22" w16cid:durableId="2099252400">
    <w:abstractNumId w:val="1"/>
  </w:num>
  <w:num w:numId="23" w16cid:durableId="19758666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1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C4"/>
    <w:rsid w:val="000046B2"/>
    <w:rsid w:val="000111E7"/>
    <w:rsid w:val="00012310"/>
    <w:rsid w:val="00030930"/>
    <w:rsid w:val="00030937"/>
    <w:rsid w:val="00030C20"/>
    <w:rsid w:val="00033472"/>
    <w:rsid w:val="00034E90"/>
    <w:rsid w:val="00040297"/>
    <w:rsid w:val="000429C4"/>
    <w:rsid w:val="0008533F"/>
    <w:rsid w:val="00085774"/>
    <w:rsid w:val="00091AAC"/>
    <w:rsid w:val="00092FA7"/>
    <w:rsid w:val="000A09AF"/>
    <w:rsid w:val="000A563B"/>
    <w:rsid w:val="000B0AE5"/>
    <w:rsid w:val="000B4B5C"/>
    <w:rsid w:val="000C1871"/>
    <w:rsid w:val="000C23C5"/>
    <w:rsid w:val="000C423D"/>
    <w:rsid w:val="000C6B87"/>
    <w:rsid w:val="000D73B0"/>
    <w:rsid w:val="000E0475"/>
    <w:rsid w:val="000F283D"/>
    <w:rsid w:val="001079C8"/>
    <w:rsid w:val="00113C0D"/>
    <w:rsid w:val="0012356B"/>
    <w:rsid w:val="001269A9"/>
    <w:rsid w:val="00137395"/>
    <w:rsid w:val="00144B9D"/>
    <w:rsid w:val="00152AB0"/>
    <w:rsid w:val="001659B6"/>
    <w:rsid w:val="00170DD2"/>
    <w:rsid w:val="00177373"/>
    <w:rsid w:val="001824FB"/>
    <w:rsid w:val="001C6094"/>
    <w:rsid w:val="001D0A5C"/>
    <w:rsid w:val="001D1FCC"/>
    <w:rsid w:val="001D7A2E"/>
    <w:rsid w:val="001E0E6B"/>
    <w:rsid w:val="001E326D"/>
    <w:rsid w:val="001F250C"/>
    <w:rsid w:val="001F42B6"/>
    <w:rsid w:val="001F4D5E"/>
    <w:rsid w:val="001F6C6D"/>
    <w:rsid w:val="00202C6E"/>
    <w:rsid w:val="002227ED"/>
    <w:rsid w:val="0022299B"/>
    <w:rsid w:val="00232787"/>
    <w:rsid w:val="0023466C"/>
    <w:rsid w:val="00243B76"/>
    <w:rsid w:val="00250F6B"/>
    <w:rsid w:val="0025304F"/>
    <w:rsid w:val="00256C5B"/>
    <w:rsid w:val="002606F9"/>
    <w:rsid w:val="002613D5"/>
    <w:rsid w:val="00264DD6"/>
    <w:rsid w:val="00286BC2"/>
    <w:rsid w:val="00291C6C"/>
    <w:rsid w:val="00296A32"/>
    <w:rsid w:val="00296FD3"/>
    <w:rsid w:val="002B3C3A"/>
    <w:rsid w:val="002D7D9C"/>
    <w:rsid w:val="002F12C5"/>
    <w:rsid w:val="00301932"/>
    <w:rsid w:val="00307539"/>
    <w:rsid w:val="00322C55"/>
    <w:rsid w:val="00325359"/>
    <w:rsid w:val="0032580B"/>
    <w:rsid w:val="00327BDF"/>
    <w:rsid w:val="003425ED"/>
    <w:rsid w:val="003559E4"/>
    <w:rsid w:val="003619EA"/>
    <w:rsid w:val="0036565A"/>
    <w:rsid w:val="00366133"/>
    <w:rsid w:val="003720AB"/>
    <w:rsid w:val="003A2094"/>
    <w:rsid w:val="003B3BED"/>
    <w:rsid w:val="003C2C2F"/>
    <w:rsid w:val="003C47B9"/>
    <w:rsid w:val="003C7191"/>
    <w:rsid w:val="003D62A1"/>
    <w:rsid w:val="003E228A"/>
    <w:rsid w:val="003E3D4C"/>
    <w:rsid w:val="003F5572"/>
    <w:rsid w:val="00402D16"/>
    <w:rsid w:val="004121E4"/>
    <w:rsid w:val="0045495B"/>
    <w:rsid w:val="00454D59"/>
    <w:rsid w:val="00466A31"/>
    <w:rsid w:val="00476BB9"/>
    <w:rsid w:val="00485118"/>
    <w:rsid w:val="00486CB6"/>
    <w:rsid w:val="004948E4"/>
    <w:rsid w:val="0049702B"/>
    <w:rsid w:val="004A4940"/>
    <w:rsid w:val="004A6622"/>
    <w:rsid w:val="004B6C34"/>
    <w:rsid w:val="004C6494"/>
    <w:rsid w:val="004D11C2"/>
    <w:rsid w:val="004E0772"/>
    <w:rsid w:val="004E32C2"/>
    <w:rsid w:val="004F1E37"/>
    <w:rsid w:val="00503FEF"/>
    <w:rsid w:val="00504309"/>
    <w:rsid w:val="00505B48"/>
    <w:rsid w:val="00515EEF"/>
    <w:rsid w:val="00541066"/>
    <w:rsid w:val="00541C5D"/>
    <w:rsid w:val="0054310C"/>
    <w:rsid w:val="00545DD3"/>
    <w:rsid w:val="005521CC"/>
    <w:rsid w:val="00557B4E"/>
    <w:rsid w:val="00576A88"/>
    <w:rsid w:val="00586B93"/>
    <w:rsid w:val="005A63F4"/>
    <w:rsid w:val="005A6462"/>
    <w:rsid w:val="005B5CEE"/>
    <w:rsid w:val="005C64F4"/>
    <w:rsid w:val="005E05E0"/>
    <w:rsid w:val="005E0687"/>
    <w:rsid w:val="005E1F95"/>
    <w:rsid w:val="005F26C1"/>
    <w:rsid w:val="0060412A"/>
    <w:rsid w:val="00604D6B"/>
    <w:rsid w:val="0060551B"/>
    <w:rsid w:val="00606861"/>
    <w:rsid w:val="00612238"/>
    <w:rsid w:val="00616EAC"/>
    <w:rsid w:val="00643A15"/>
    <w:rsid w:val="006446E6"/>
    <w:rsid w:val="006466FA"/>
    <w:rsid w:val="0065050E"/>
    <w:rsid w:val="00670F6B"/>
    <w:rsid w:val="00673489"/>
    <w:rsid w:val="00681D1A"/>
    <w:rsid w:val="00683C64"/>
    <w:rsid w:val="0068602A"/>
    <w:rsid w:val="00686D0C"/>
    <w:rsid w:val="006A6384"/>
    <w:rsid w:val="006A69D1"/>
    <w:rsid w:val="006C5124"/>
    <w:rsid w:val="006C5423"/>
    <w:rsid w:val="006D7B13"/>
    <w:rsid w:val="006E506F"/>
    <w:rsid w:val="006F10A8"/>
    <w:rsid w:val="006F4F02"/>
    <w:rsid w:val="0070444D"/>
    <w:rsid w:val="00711AE1"/>
    <w:rsid w:val="007172C4"/>
    <w:rsid w:val="00723391"/>
    <w:rsid w:val="00744323"/>
    <w:rsid w:val="00751625"/>
    <w:rsid w:val="0075799E"/>
    <w:rsid w:val="0076127E"/>
    <w:rsid w:val="00761325"/>
    <w:rsid w:val="007700DA"/>
    <w:rsid w:val="007777E2"/>
    <w:rsid w:val="00794A07"/>
    <w:rsid w:val="00797C92"/>
    <w:rsid w:val="007A61B0"/>
    <w:rsid w:val="007C1AE4"/>
    <w:rsid w:val="007E1A7A"/>
    <w:rsid w:val="007E1D50"/>
    <w:rsid w:val="007E42A1"/>
    <w:rsid w:val="007E77A8"/>
    <w:rsid w:val="007F2914"/>
    <w:rsid w:val="007F324B"/>
    <w:rsid w:val="008063CA"/>
    <w:rsid w:val="0081175A"/>
    <w:rsid w:val="0083713C"/>
    <w:rsid w:val="00853717"/>
    <w:rsid w:val="008555DC"/>
    <w:rsid w:val="008610B6"/>
    <w:rsid w:val="00870032"/>
    <w:rsid w:val="008935C9"/>
    <w:rsid w:val="008C1793"/>
    <w:rsid w:val="008C4CB6"/>
    <w:rsid w:val="008C749D"/>
    <w:rsid w:val="008D2E7A"/>
    <w:rsid w:val="008D5C90"/>
    <w:rsid w:val="008D783F"/>
    <w:rsid w:val="008E5F30"/>
    <w:rsid w:val="009014A6"/>
    <w:rsid w:val="00903A7C"/>
    <w:rsid w:val="00906623"/>
    <w:rsid w:val="00911706"/>
    <w:rsid w:val="00921363"/>
    <w:rsid w:val="009217E2"/>
    <w:rsid w:val="009241E4"/>
    <w:rsid w:val="00925A85"/>
    <w:rsid w:val="00930267"/>
    <w:rsid w:val="0093051E"/>
    <w:rsid w:val="00930AA6"/>
    <w:rsid w:val="00934A59"/>
    <w:rsid w:val="00934FB4"/>
    <w:rsid w:val="009701E4"/>
    <w:rsid w:val="00971933"/>
    <w:rsid w:val="00984079"/>
    <w:rsid w:val="00995FA8"/>
    <w:rsid w:val="00997C6F"/>
    <w:rsid w:val="009B181D"/>
    <w:rsid w:val="009B1BB0"/>
    <w:rsid w:val="009B5D7B"/>
    <w:rsid w:val="009C62E3"/>
    <w:rsid w:val="009C79CA"/>
    <w:rsid w:val="009D28DA"/>
    <w:rsid w:val="009E6525"/>
    <w:rsid w:val="009F082B"/>
    <w:rsid w:val="009F4216"/>
    <w:rsid w:val="009F6565"/>
    <w:rsid w:val="00A12156"/>
    <w:rsid w:val="00A138B3"/>
    <w:rsid w:val="00A175DA"/>
    <w:rsid w:val="00A20D18"/>
    <w:rsid w:val="00A237C6"/>
    <w:rsid w:val="00A265B4"/>
    <w:rsid w:val="00A26AD6"/>
    <w:rsid w:val="00A455F6"/>
    <w:rsid w:val="00A54264"/>
    <w:rsid w:val="00A56C8A"/>
    <w:rsid w:val="00A6258F"/>
    <w:rsid w:val="00A7686B"/>
    <w:rsid w:val="00A9111D"/>
    <w:rsid w:val="00AA4544"/>
    <w:rsid w:val="00AB1CE9"/>
    <w:rsid w:val="00AB72A1"/>
    <w:rsid w:val="00AC77F0"/>
    <w:rsid w:val="00AD017D"/>
    <w:rsid w:val="00AD44FE"/>
    <w:rsid w:val="00AD4D29"/>
    <w:rsid w:val="00AD56F4"/>
    <w:rsid w:val="00AF2BB4"/>
    <w:rsid w:val="00B05B73"/>
    <w:rsid w:val="00B068DA"/>
    <w:rsid w:val="00B11D52"/>
    <w:rsid w:val="00B25C2B"/>
    <w:rsid w:val="00B27C44"/>
    <w:rsid w:val="00B30C7F"/>
    <w:rsid w:val="00B37BAF"/>
    <w:rsid w:val="00B4632C"/>
    <w:rsid w:val="00B5579E"/>
    <w:rsid w:val="00B62AD4"/>
    <w:rsid w:val="00B66C5C"/>
    <w:rsid w:val="00BA40A4"/>
    <w:rsid w:val="00BA4EFB"/>
    <w:rsid w:val="00BA764A"/>
    <w:rsid w:val="00BB0B14"/>
    <w:rsid w:val="00BB2F36"/>
    <w:rsid w:val="00BB54EE"/>
    <w:rsid w:val="00BC5DBA"/>
    <w:rsid w:val="00BD389B"/>
    <w:rsid w:val="00BD6C58"/>
    <w:rsid w:val="00BE0FAE"/>
    <w:rsid w:val="00BF151D"/>
    <w:rsid w:val="00BF35D4"/>
    <w:rsid w:val="00BF4AB4"/>
    <w:rsid w:val="00C00241"/>
    <w:rsid w:val="00C0514F"/>
    <w:rsid w:val="00C06D7F"/>
    <w:rsid w:val="00C1202D"/>
    <w:rsid w:val="00C24D66"/>
    <w:rsid w:val="00C33F8A"/>
    <w:rsid w:val="00C40F69"/>
    <w:rsid w:val="00C411CA"/>
    <w:rsid w:val="00C41D81"/>
    <w:rsid w:val="00C5213B"/>
    <w:rsid w:val="00C536AD"/>
    <w:rsid w:val="00C56E0A"/>
    <w:rsid w:val="00C615D9"/>
    <w:rsid w:val="00C646A4"/>
    <w:rsid w:val="00C65619"/>
    <w:rsid w:val="00C74CCA"/>
    <w:rsid w:val="00C838A2"/>
    <w:rsid w:val="00C93C96"/>
    <w:rsid w:val="00C97C6F"/>
    <w:rsid w:val="00CA72AE"/>
    <w:rsid w:val="00CD206D"/>
    <w:rsid w:val="00CD2AA1"/>
    <w:rsid w:val="00CD46AB"/>
    <w:rsid w:val="00CD4F72"/>
    <w:rsid w:val="00CE0F56"/>
    <w:rsid w:val="00CE5BB7"/>
    <w:rsid w:val="00CF2E7F"/>
    <w:rsid w:val="00CF54AD"/>
    <w:rsid w:val="00CF6769"/>
    <w:rsid w:val="00D0004A"/>
    <w:rsid w:val="00D10B51"/>
    <w:rsid w:val="00D131BE"/>
    <w:rsid w:val="00D216E3"/>
    <w:rsid w:val="00D30AB7"/>
    <w:rsid w:val="00D31C1C"/>
    <w:rsid w:val="00D32567"/>
    <w:rsid w:val="00D376A8"/>
    <w:rsid w:val="00D41C5C"/>
    <w:rsid w:val="00D47E80"/>
    <w:rsid w:val="00D631CD"/>
    <w:rsid w:val="00D72971"/>
    <w:rsid w:val="00D73396"/>
    <w:rsid w:val="00D84E0F"/>
    <w:rsid w:val="00DA398A"/>
    <w:rsid w:val="00DB3A9A"/>
    <w:rsid w:val="00DB774C"/>
    <w:rsid w:val="00DE093A"/>
    <w:rsid w:val="00DE59E2"/>
    <w:rsid w:val="00DF032B"/>
    <w:rsid w:val="00DF404C"/>
    <w:rsid w:val="00E022BC"/>
    <w:rsid w:val="00E111DD"/>
    <w:rsid w:val="00E25954"/>
    <w:rsid w:val="00E304AF"/>
    <w:rsid w:val="00E3065D"/>
    <w:rsid w:val="00E408A0"/>
    <w:rsid w:val="00E40D8A"/>
    <w:rsid w:val="00E504A2"/>
    <w:rsid w:val="00E6557F"/>
    <w:rsid w:val="00E83E18"/>
    <w:rsid w:val="00E90B4C"/>
    <w:rsid w:val="00EA49BB"/>
    <w:rsid w:val="00EA798B"/>
    <w:rsid w:val="00EB534A"/>
    <w:rsid w:val="00EC56A2"/>
    <w:rsid w:val="00ED2413"/>
    <w:rsid w:val="00ED241A"/>
    <w:rsid w:val="00EE582D"/>
    <w:rsid w:val="00EF2C09"/>
    <w:rsid w:val="00EF78AE"/>
    <w:rsid w:val="00F03470"/>
    <w:rsid w:val="00F06E53"/>
    <w:rsid w:val="00F07F4B"/>
    <w:rsid w:val="00F35275"/>
    <w:rsid w:val="00F3576D"/>
    <w:rsid w:val="00F51AD6"/>
    <w:rsid w:val="00F54AD3"/>
    <w:rsid w:val="00F5649D"/>
    <w:rsid w:val="00F60A3A"/>
    <w:rsid w:val="00F70A18"/>
    <w:rsid w:val="00F77859"/>
    <w:rsid w:val="00F83131"/>
    <w:rsid w:val="00F91E35"/>
    <w:rsid w:val="00FA0DC7"/>
    <w:rsid w:val="00FB07E5"/>
    <w:rsid w:val="00FB3D0E"/>
    <w:rsid w:val="00FB480F"/>
    <w:rsid w:val="00FB64B9"/>
    <w:rsid w:val="00FC4E39"/>
    <w:rsid w:val="00FC5E17"/>
    <w:rsid w:val="00FD2DA6"/>
    <w:rsid w:val="00FE5708"/>
    <w:rsid w:val="02CC3FF8"/>
    <w:rsid w:val="02DE7C25"/>
    <w:rsid w:val="062A8FCC"/>
    <w:rsid w:val="069565B0"/>
    <w:rsid w:val="06E923AE"/>
    <w:rsid w:val="07BBFEA3"/>
    <w:rsid w:val="07CAC600"/>
    <w:rsid w:val="092485C5"/>
    <w:rsid w:val="0ABB995D"/>
    <w:rsid w:val="0AF253AF"/>
    <w:rsid w:val="0D5878C3"/>
    <w:rsid w:val="0D927B6A"/>
    <w:rsid w:val="110281BE"/>
    <w:rsid w:val="1157A406"/>
    <w:rsid w:val="12A1C9EE"/>
    <w:rsid w:val="139FA93B"/>
    <w:rsid w:val="1720978C"/>
    <w:rsid w:val="1896195B"/>
    <w:rsid w:val="190063F6"/>
    <w:rsid w:val="1BC1F0C2"/>
    <w:rsid w:val="1D294FBE"/>
    <w:rsid w:val="1DC66D69"/>
    <w:rsid w:val="1DD2785E"/>
    <w:rsid w:val="202A329D"/>
    <w:rsid w:val="20E1A0DA"/>
    <w:rsid w:val="20E2DBD2"/>
    <w:rsid w:val="225105DE"/>
    <w:rsid w:val="22657664"/>
    <w:rsid w:val="228EBCE3"/>
    <w:rsid w:val="245B73A8"/>
    <w:rsid w:val="25D0F13B"/>
    <w:rsid w:val="2703C6EB"/>
    <w:rsid w:val="29731B9F"/>
    <w:rsid w:val="2AD145A5"/>
    <w:rsid w:val="2C9969F5"/>
    <w:rsid w:val="2D4240EF"/>
    <w:rsid w:val="2D72841B"/>
    <w:rsid w:val="2DF4795A"/>
    <w:rsid w:val="2EF7C620"/>
    <w:rsid w:val="30F6110D"/>
    <w:rsid w:val="32192E94"/>
    <w:rsid w:val="3291743D"/>
    <w:rsid w:val="32ABCFDD"/>
    <w:rsid w:val="33E1F2F5"/>
    <w:rsid w:val="341B3048"/>
    <w:rsid w:val="35E3AEE4"/>
    <w:rsid w:val="377E764A"/>
    <w:rsid w:val="389A585A"/>
    <w:rsid w:val="39B1C580"/>
    <w:rsid w:val="3D013272"/>
    <w:rsid w:val="3E8659DE"/>
    <w:rsid w:val="3FF61B46"/>
    <w:rsid w:val="4029C45F"/>
    <w:rsid w:val="402D7A40"/>
    <w:rsid w:val="414C70A5"/>
    <w:rsid w:val="41985AFD"/>
    <w:rsid w:val="41F46AB6"/>
    <w:rsid w:val="42CD48D4"/>
    <w:rsid w:val="4668011D"/>
    <w:rsid w:val="4730862F"/>
    <w:rsid w:val="47C96C0A"/>
    <w:rsid w:val="490F84C9"/>
    <w:rsid w:val="494E29D5"/>
    <w:rsid w:val="4B5F0A09"/>
    <w:rsid w:val="4C3168B0"/>
    <w:rsid w:val="4C666244"/>
    <w:rsid w:val="4D1E3885"/>
    <w:rsid w:val="4D68D24F"/>
    <w:rsid w:val="4DA94402"/>
    <w:rsid w:val="4DDF4323"/>
    <w:rsid w:val="4E969446"/>
    <w:rsid w:val="4ED1B738"/>
    <w:rsid w:val="5069CAC9"/>
    <w:rsid w:val="529AF0EE"/>
    <w:rsid w:val="53607492"/>
    <w:rsid w:val="5500A62B"/>
    <w:rsid w:val="56A7D010"/>
    <w:rsid w:val="593EC1F4"/>
    <w:rsid w:val="599307C9"/>
    <w:rsid w:val="5AE053D1"/>
    <w:rsid w:val="5C0138AC"/>
    <w:rsid w:val="5E66BC93"/>
    <w:rsid w:val="5E805127"/>
    <w:rsid w:val="5F3379CB"/>
    <w:rsid w:val="641C564C"/>
    <w:rsid w:val="65385E1D"/>
    <w:rsid w:val="6737E58F"/>
    <w:rsid w:val="68DB32FA"/>
    <w:rsid w:val="6922AD05"/>
    <w:rsid w:val="6A0C26E3"/>
    <w:rsid w:val="6A3CD8DA"/>
    <w:rsid w:val="6A9ACBEA"/>
    <w:rsid w:val="6B69BB46"/>
    <w:rsid w:val="6C1BD60C"/>
    <w:rsid w:val="70EA963F"/>
    <w:rsid w:val="7104DFDE"/>
    <w:rsid w:val="7161700D"/>
    <w:rsid w:val="71F58ABA"/>
    <w:rsid w:val="751B720F"/>
    <w:rsid w:val="762F7E82"/>
    <w:rsid w:val="77488174"/>
    <w:rsid w:val="78581208"/>
    <w:rsid w:val="785EE565"/>
    <w:rsid w:val="7B2CD08C"/>
    <w:rsid w:val="7D58BC85"/>
    <w:rsid w:val="7DD9B5E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C3E7"/>
  <w15:chartTrackingRefBased/>
  <w15:docId w15:val="{767232AF-5C2A-4BC2-AAF4-D700861C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A15"/>
    <w:pPr>
      <w:spacing w:line="259" w:lineRule="auto"/>
    </w:pPr>
    <w:rPr>
      <w:rFonts w:asciiTheme="minorHAnsi" w:hAnsiTheme="minorHAnsi"/>
      <w:szCs w:val="22"/>
      <w:lang w:val="en-US"/>
    </w:rPr>
  </w:style>
  <w:style w:type="paragraph" w:styleId="Heading1">
    <w:name w:val="heading 1"/>
    <w:basedOn w:val="Normal"/>
    <w:next w:val="Normal"/>
    <w:link w:val="Heading1Char"/>
    <w:qFormat/>
    <w:rsid w:val="00643A15"/>
    <w:pPr>
      <w:spacing w:after="0" w:line="240" w:lineRule="auto"/>
      <w:outlineLvl w:val="0"/>
    </w:pPr>
    <w:rPr>
      <w:rFonts w:ascii="Calibri" w:eastAsia="Times New Roman" w:hAnsi="Calibri" w:cs="Calibri"/>
      <w:b/>
      <w:bCs/>
      <w:color w:val="126AF3" w:themeColor="accent2"/>
      <w:kern w:val="0"/>
      <w:sz w:val="36"/>
      <w:szCs w:val="36"/>
      <w:lang w:eastAsia="da-DK"/>
      <w14:ligatures w14:val="none"/>
    </w:rPr>
  </w:style>
  <w:style w:type="paragraph" w:styleId="Heading2">
    <w:name w:val="heading 2"/>
    <w:basedOn w:val="Normal"/>
    <w:next w:val="Normal"/>
    <w:link w:val="Heading2Char"/>
    <w:qFormat/>
    <w:rsid w:val="00643A15"/>
    <w:pPr>
      <w:spacing w:after="0" w:line="240" w:lineRule="auto"/>
      <w:outlineLvl w:val="1"/>
    </w:pPr>
    <w:rPr>
      <w:rFonts w:ascii="Calibri" w:eastAsia="Times New Roman" w:hAnsi="Calibri" w:cs="Calibri"/>
      <w:b/>
      <w:bCs/>
      <w:color w:val="126AF3" w:themeColor="accent2"/>
      <w:kern w:val="0"/>
      <w:sz w:val="28"/>
      <w:szCs w:val="28"/>
      <w:lang w:eastAsia="da-DK"/>
      <w14:ligatures w14:val="none"/>
    </w:rPr>
  </w:style>
  <w:style w:type="paragraph" w:styleId="Heading3">
    <w:name w:val="heading 3"/>
    <w:basedOn w:val="Normal"/>
    <w:next w:val="Normal"/>
    <w:link w:val="Heading3Char"/>
    <w:qFormat/>
    <w:rsid w:val="00643A15"/>
    <w:pPr>
      <w:spacing w:after="0" w:line="240" w:lineRule="auto"/>
      <w:outlineLvl w:val="2"/>
    </w:pPr>
    <w:rPr>
      <w:rFonts w:ascii="Calibri" w:eastAsia="Times New Roman" w:hAnsi="Calibri" w:cs="Calibri"/>
      <w:b/>
      <w:bCs/>
      <w:color w:val="000000" w:themeColor="text1"/>
      <w:kern w:val="0"/>
      <w:sz w:val="24"/>
      <w:szCs w:val="24"/>
      <w:lang w:eastAsia="da-DK"/>
      <w14:ligatures w14:val="none"/>
    </w:rPr>
  </w:style>
  <w:style w:type="paragraph" w:styleId="Heading4">
    <w:name w:val="heading 4"/>
    <w:basedOn w:val="Normal"/>
    <w:next w:val="Normal"/>
    <w:link w:val="Heading4Char"/>
    <w:semiHidden/>
    <w:unhideWhenUsed/>
    <w:rsid w:val="00643A15"/>
    <w:pPr>
      <w:keepNext/>
      <w:keepLines/>
      <w:spacing w:before="200" w:after="0" w:line="240" w:lineRule="auto"/>
      <w:outlineLvl w:val="3"/>
    </w:pPr>
    <w:rPr>
      <w:rFonts w:asciiTheme="majorHAnsi" w:eastAsiaTheme="majorEastAsia" w:hAnsiTheme="majorHAnsi" w:cstheme="majorBidi"/>
      <w:b/>
      <w:bCs/>
      <w:i/>
      <w:iCs/>
      <w:color w:val="11497B" w:themeColor="accent1"/>
      <w:kern w:val="0"/>
      <w:sz w:val="24"/>
      <w:szCs w:val="24"/>
      <w:lang w:val="en-GB" w:eastAsia="da-DK"/>
      <w14:ligatures w14:val="none"/>
    </w:rPr>
  </w:style>
  <w:style w:type="paragraph" w:styleId="Heading5">
    <w:name w:val="heading 5"/>
    <w:basedOn w:val="Normal"/>
    <w:next w:val="Normal"/>
    <w:link w:val="Heading5Char"/>
    <w:semiHidden/>
    <w:unhideWhenUsed/>
    <w:rsid w:val="00643A15"/>
    <w:pPr>
      <w:keepNext/>
      <w:keepLines/>
      <w:spacing w:before="200" w:after="0" w:line="240" w:lineRule="auto"/>
      <w:outlineLvl w:val="4"/>
    </w:pPr>
    <w:rPr>
      <w:rFonts w:asciiTheme="majorHAnsi" w:eastAsiaTheme="majorEastAsia" w:hAnsiTheme="majorHAnsi" w:cstheme="majorBidi"/>
      <w:color w:val="08243D" w:themeColor="accent1" w:themeShade="7F"/>
      <w:kern w:val="0"/>
      <w:sz w:val="24"/>
      <w:szCs w:val="24"/>
      <w:lang w:val="en-GB" w:eastAsia="da-DK"/>
      <w14:ligatures w14:val="none"/>
    </w:rPr>
  </w:style>
  <w:style w:type="paragraph" w:styleId="Heading6">
    <w:name w:val="heading 6"/>
    <w:basedOn w:val="Normal"/>
    <w:next w:val="Normal"/>
    <w:link w:val="Heading6Char"/>
    <w:semiHidden/>
    <w:unhideWhenUsed/>
    <w:rsid w:val="00643A15"/>
    <w:pPr>
      <w:keepNext/>
      <w:keepLines/>
      <w:spacing w:before="200" w:after="0" w:line="240" w:lineRule="auto"/>
      <w:outlineLvl w:val="5"/>
    </w:pPr>
    <w:rPr>
      <w:rFonts w:asciiTheme="majorHAnsi" w:eastAsiaTheme="majorEastAsia" w:hAnsiTheme="majorHAnsi" w:cstheme="majorBidi"/>
      <w:i/>
      <w:iCs/>
      <w:color w:val="08243D" w:themeColor="accent1" w:themeShade="7F"/>
      <w:kern w:val="0"/>
      <w:sz w:val="24"/>
      <w:szCs w:val="24"/>
      <w:lang w:val="en-GB" w:eastAsia="da-DK"/>
      <w14:ligatures w14:val="none"/>
    </w:rPr>
  </w:style>
  <w:style w:type="paragraph" w:styleId="Heading7">
    <w:name w:val="heading 7"/>
    <w:basedOn w:val="Normal"/>
    <w:next w:val="Normal"/>
    <w:link w:val="Heading7Char"/>
    <w:semiHidden/>
    <w:unhideWhenUsed/>
    <w:qFormat/>
    <w:rsid w:val="00643A15"/>
    <w:pPr>
      <w:keepNext/>
      <w:keepLines/>
      <w:spacing w:before="200" w:after="0" w:line="240" w:lineRule="auto"/>
      <w:outlineLvl w:val="6"/>
    </w:pPr>
    <w:rPr>
      <w:rFonts w:asciiTheme="majorHAnsi" w:eastAsiaTheme="majorEastAsia" w:hAnsiTheme="majorHAnsi" w:cstheme="majorBidi"/>
      <w:i/>
      <w:iCs/>
      <w:color w:val="404040" w:themeColor="text1" w:themeTint="BF"/>
      <w:kern w:val="0"/>
      <w:sz w:val="24"/>
      <w:szCs w:val="24"/>
      <w:lang w:val="en-GB" w:eastAsia="da-DK"/>
      <w14:ligatures w14:val="none"/>
    </w:rPr>
  </w:style>
  <w:style w:type="paragraph" w:styleId="Heading8">
    <w:name w:val="heading 8"/>
    <w:basedOn w:val="Normal"/>
    <w:next w:val="Normal"/>
    <w:link w:val="Heading8Char"/>
    <w:semiHidden/>
    <w:unhideWhenUsed/>
    <w:qFormat/>
    <w:rsid w:val="00643A15"/>
    <w:pPr>
      <w:keepNext/>
      <w:keepLines/>
      <w:spacing w:before="200" w:after="0" w:line="240" w:lineRule="auto"/>
      <w:outlineLvl w:val="7"/>
    </w:pPr>
    <w:rPr>
      <w:rFonts w:asciiTheme="majorHAnsi" w:eastAsiaTheme="majorEastAsia" w:hAnsiTheme="majorHAnsi" w:cstheme="majorBidi"/>
      <w:color w:val="404040" w:themeColor="text1" w:themeTint="BF"/>
      <w:kern w:val="0"/>
      <w:sz w:val="20"/>
      <w:szCs w:val="20"/>
      <w:lang w:val="en-GB" w:eastAsia="da-DK"/>
      <w14:ligatures w14:val="none"/>
    </w:rPr>
  </w:style>
  <w:style w:type="paragraph" w:styleId="Heading9">
    <w:name w:val="heading 9"/>
    <w:basedOn w:val="Normal"/>
    <w:next w:val="Normal"/>
    <w:link w:val="Heading9Char"/>
    <w:semiHidden/>
    <w:unhideWhenUsed/>
    <w:qFormat/>
    <w:rsid w:val="00643A15"/>
    <w:pPr>
      <w:keepNext/>
      <w:keepLines/>
      <w:spacing w:before="200" w:after="0" w:line="240" w:lineRule="auto"/>
      <w:outlineLvl w:val="8"/>
    </w:pPr>
    <w:rPr>
      <w:rFonts w:asciiTheme="majorHAnsi" w:eastAsiaTheme="majorEastAsia" w:hAnsiTheme="majorHAnsi" w:cstheme="majorBidi"/>
      <w:i/>
      <w:iCs/>
      <w:color w:val="404040" w:themeColor="text1" w:themeTint="BF"/>
      <w:kern w:val="0"/>
      <w:sz w:val="20"/>
      <w:szCs w:val="20"/>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A15"/>
    <w:rPr>
      <w:rFonts w:eastAsia="Times New Roman" w:cs="Calibri"/>
      <w:b/>
      <w:bCs/>
      <w:color w:val="126AF3" w:themeColor="accent2"/>
      <w:kern w:val="0"/>
      <w:sz w:val="36"/>
      <w:szCs w:val="36"/>
      <w:lang w:val="en-US" w:eastAsia="da-DK"/>
      <w14:ligatures w14:val="none"/>
    </w:rPr>
  </w:style>
  <w:style w:type="character" w:customStyle="1" w:styleId="Heading2Char">
    <w:name w:val="Heading 2 Char"/>
    <w:basedOn w:val="DefaultParagraphFont"/>
    <w:link w:val="Heading2"/>
    <w:rsid w:val="00643A15"/>
    <w:rPr>
      <w:rFonts w:eastAsia="Times New Roman" w:cs="Calibri"/>
      <w:b/>
      <w:bCs/>
      <w:color w:val="126AF3" w:themeColor="accent2"/>
      <w:kern w:val="0"/>
      <w:sz w:val="28"/>
      <w:szCs w:val="28"/>
      <w:lang w:val="en-US" w:eastAsia="da-DK"/>
      <w14:ligatures w14:val="none"/>
    </w:rPr>
  </w:style>
  <w:style w:type="character" w:customStyle="1" w:styleId="Heading3Char">
    <w:name w:val="Heading 3 Char"/>
    <w:basedOn w:val="DefaultParagraphFont"/>
    <w:link w:val="Heading3"/>
    <w:rsid w:val="00643A15"/>
    <w:rPr>
      <w:rFonts w:eastAsia="Times New Roman" w:cs="Calibri"/>
      <w:b/>
      <w:bCs/>
      <w:color w:val="000000" w:themeColor="text1"/>
      <w:kern w:val="0"/>
      <w:sz w:val="24"/>
      <w:lang w:val="en-US" w:eastAsia="da-DK"/>
      <w14:ligatures w14:val="none"/>
    </w:rPr>
  </w:style>
  <w:style w:type="character" w:customStyle="1" w:styleId="Heading4Char">
    <w:name w:val="Heading 4 Char"/>
    <w:basedOn w:val="DefaultParagraphFont"/>
    <w:link w:val="Heading4"/>
    <w:semiHidden/>
    <w:rsid w:val="00643A15"/>
    <w:rPr>
      <w:rFonts w:asciiTheme="majorHAnsi" w:eastAsiaTheme="majorEastAsia" w:hAnsiTheme="majorHAnsi" w:cstheme="majorBidi"/>
      <w:b/>
      <w:bCs/>
      <w:i/>
      <w:iCs/>
      <w:color w:val="11497B" w:themeColor="accent1"/>
      <w:kern w:val="0"/>
      <w:sz w:val="24"/>
      <w:lang w:val="en-GB" w:eastAsia="da-DK"/>
      <w14:ligatures w14:val="none"/>
    </w:rPr>
  </w:style>
  <w:style w:type="character" w:customStyle="1" w:styleId="Heading5Char">
    <w:name w:val="Heading 5 Char"/>
    <w:basedOn w:val="DefaultParagraphFont"/>
    <w:link w:val="Heading5"/>
    <w:semiHidden/>
    <w:rsid w:val="00643A15"/>
    <w:rPr>
      <w:rFonts w:asciiTheme="majorHAnsi" w:eastAsiaTheme="majorEastAsia" w:hAnsiTheme="majorHAnsi" w:cstheme="majorBidi"/>
      <w:color w:val="08243D" w:themeColor="accent1" w:themeShade="7F"/>
      <w:kern w:val="0"/>
      <w:sz w:val="24"/>
      <w:lang w:val="en-GB" w:eastAsia="da-DK"/>
      <w14:ligatures w14:val="none"/>
    </w:rPr>
  </w:style>
  <w:style w:type="character" w:customStyle="1" w:styleId="Heading6Char">
    <w:name w:val="Heading 6 Char"/>
    <w:basedOn w:val="DefaultParagraphFont"/>
    <w:link w:val="Heading6"/>
    <w:semiHidden/>
    <w:rsid w:val="00643A15"/>
    <w:rPr>
      <w:rFonts w:asciiTheme="majorHAnsi" w:eastAsiaTheme="majorEastAsia" w:hAnsiTheme="majorHAnsi" w:cstheme="majorBidi"/>
      <w:i/>
      <w:iCs/>
      <w:color w:val="08243D" w:themeColor="accent1" w:themeShade="7F"/>
      <w:kern w:val="0"/>
      <w:sz w:val="24"/>
      <w:lang w:val="en-GB" w:eastAsia="da-DK"/>
      <w14:ligatures w14:val="none"/>
    </w:rPr>
  </w:style>
  <w:style w:type="character" w:customStyle="1" w:styleId="Heading7Char">
    <w:name w:val="Heading 7 Char"/>
    <w:basedOn w:val="DefaultParagraphFont"/>
    <w:link w:val="Heading7"/>
    <w:semiHidden/>
    <w:rsid w:val="00643A15"/>
    <w:rPr>
      <w:rFonts w:asciiTheme="majorHAnsi" w:eastAsiaTheme="majorEastAsia" w:hAnsiTheme="majorHAnsi" w:cstheme="majorBidi"/>
      <w:i/>
      <w:iCs/>
      <w:color w:val="404040" w:themeColor="text1" w:themeTint="BF"/>
      <w:kern w:val="0"/>
      <w:sz w:val="24"/>
      <w:lang w:val="en-GB" w:eastAsia="da-DK"/>
      <w14:ligatures w14:val="none"/>
    </w:rPr>
  </w:style>
  <w:style w:type="character" w:customStyle="1" w:styleId="Heading8Char">
    <w:name w:val="Heading 8 Char"/>
    <w:basedOn w:val="DefaultParagraphFont"/>
    <w:link w:val="Heading8"/>
    <w:semiHidden/>
    <w:rsid w:val="00643A15"/>
    <w:rPr>
      <w:rFonts w:asciiTheme="majorHAnsi" w:eastAsiaTheme="majorEastAsia" w:hAnsiTheme="majorHAnsi" w:cstheme="majorBidi"/>
      <w:color w:val="404040" w:themeColor="text1" w:themeTint="BF"/>
      <w:kern w:val="0"/>
      <w:sz w:val="20"/>
      <w:szCs w:val="20"/>
      <w:lang w:val="en-GB" w:eastAsia="da-DK"/>
      <w14:ligatures w14:val="none"/>
    </w:rPr>
  </w:style>
  <w:style w:type="character" w:customStyle="1" w:styleId="Heading9Char">
    <w:name w:val="Heading 9 Char"/>
    <w:basedOn w:val="DefaultParagraphFont"/>
    <w:link w:val="Heading9"/>
    <w:semiHidden/>
    <w:rsid w:val="00643A15"/>
    <w:rPr>
      <w:rFonts w:asciiTheme="majorHAnsi" w:eastAsiaTheme="majorEastAsia" w:hAnsiTheme="majorHAnsi" w:cstheme="majorBidi"/>
      <w:i/>
      <w:iCs/>
      <w:color w:val="404040" w:themeColor="text1" w:themeTint="BF"/>
      <w:kern w:val="0"/>
      <w:sz w:val="20"/>
      <w:szCs w:val="20"/>
      <w:lang w:val="en-GB" w:eastAsia="da-DK"/>
      <w14:ligatures w14:val="none"/>
    </w:rPr>
  </w:style>
  <w:style w:type="paragraph" w:styleId="Title">
    <w:name w:val="Title"/>
    <w:basedOn w:val="Normal"/>
    <w:next w:val="Normal"/>
    <w:link w:val="TitleChar"/>
    <w:uiPriority w:val="10"/>
    <w:unhideWhenUsed/>
    <w:qFormat/>
    <w:rsid w:val="00643A15"/>
    <w:pPr>
      <w:pBdr>
        <w:bottom w:val="single" w:sz="8" w:space="4" w:color="11497B" w:themeColor="accent1"/>
      </w:pBdr>
      <w:spacing w:after="300" w:line="240" w:lineRule="auto"/>
      <w:contextualSpacing/>
    </w:pPr>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character" w:customStyle="1" w:styleId="TitleChar">
    <w:name w:val="Title Char"/>
    <w:basedOn w:val="DefaultParagraphFont"/>
    <w:link w:val="Title"/>
    <w:uiPriority w:val="10"/>
    <w:rsid w:val="00643A15"/>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paragraph" w:styleId="Subtitle">
    <w:name w:val="Subtitle"/>
    <w:basedOn w:val="Normal"/>
    <w:next w:val="Normal"/>
    <w:link w:val="SubtitleChar"/>
    <w:unhideWhenUsed/>
    <w:rsid w:val="00643A15"/>
    <w:pPr>
      <w:numPr>
        <w:ilvl w:val="1"/>
      </w:numPr>
    </w:pPr>
    <w:rPr>
      <w:rFonts w:asciiTheme="majorHAnsi" w:eastAsiaTheme="majorEastAsia" w:hAnsiTheme="majorHAnsi" w:cstheme="majorBidi"/>
      <w:i/>
      <w:iCs/>
      <w:color w:val="11497B" w:themeColor="accent1"/>
      <w:spacing w:val="15"/>
    </w:rPr>
  </w:style>
  <w:style w:type="character" w:customStyle="1" w:styleId="SubtitleChar">
    <w:name w:val="Subtitle Char"/>
    <w:basedOn w:val="DefaultParagraphFont"/>
    <w:link w:val="Subtitle"/>
    <w:rsid w:val="00643A15"/>
    <w:rPr>
      <w:rFonts w:asciiTheme="majorHAnsi" w:eastAsiaTheme="majorEastAsia" w:hAnsiTheme="majorHAnsi" w:cstheme="majorBidi"/>
      <w:i/>
      <w:iCs/>
      <w:color w:val="11497B" w:themeColor="accent1"/>
      <w:spacing w:val="15"/>
      <w:szCs w:val="22"/>
      <w:lang w:val="en-US"/>
    </w:rPr>
  </w:style>
  <w:style w:type="paragraph" w:styleId="Quote">
    <w:name w:val="Quote"/>
    <w:basedOn w:val="Normal"/>
    <w:next w:val="Normal"/>
    <w:link w:val="QuoteChar"/>
    <w:uiPriority w:val="29"/>
    <w:unhideWhenUsed/>
    <w:rsid w:val="00643A15"/>
    <w:rPr>
      <w:i/>
      <w:iCs/>
      <w:color w:val="000000" w:themeColor="text1"/>
    </w:rPr>
  </w:style>
  <w:style w:type="character" w:customStyle="1" w:styleId="QuoteChar">
    <w:name w:val="Quote Char"/>
    <w:basedOn w:val="DefaultParagraphFont"/>
    <w:link w:val="Quote"/>
    <w:uiPriority w:val="29"/>
    <w:rsid w:val="00643A15"/>
    <w:rPr>
      <w:rFonts w:asciiTheme="minorHAnsi" w:hAnsiTheme="minorHAnsi"/>
      <w:i/>
      <w:iCs/>
      <w:color w:val="000000" w:themeColor="text1"/>
      <w:szCs w:val="22"/>
      <w:lang w:val="en-US"/>
    </w:rPr>
  </w:style>
  <w:style w:type="paragraph" w:styleId="ListParagraph">
    <w:name w:val="List Paragraph"/>
    <w:basedOn w:val="Normal"/>
    <w:uiPriority w:val="34"/>
    <w:unhideWhenUsed/>
    <w:qFormat/>
    <w:rsid w:val="00643A15"/>
    <w:pPr>
      <w:spacing w:after="0" w:line="240" w:lineRule="auto"/>
      <w:ind w:left="720"/>
      <w:contextualSpacing/>
    </w:pPr>
    <w:rPr>
      <w:rFonts w:ascii="Calibri" w:eastAsia="Times New Roman" w:hAnsi="Calibri" w:cs="Times New Roman"/>
      <w:kern w:val="0"/>
      <w:sz w:val="24"/>
      <w:szCs w:val="24"/>
      <w:lang w:val="en-GB" w:eastAsia="da-DK"/>
      <w14:ligatures w14:val="none"/>
    </w:rPr>
  </w:style>
  <w:style w:type="character" w:styleId="IntenseEmphasis">
    <w:name w:val="Intense Emphasis"/>
    <w:basedOn w:val="DefaultParagraphFont"/>
    <w:uiPriority w:val="21"/>
    <w:unhideWhenUsed/>
    <w:rsid w:val="00643A15"/>
    <w:rPr>
      <w:b/>
      <w:bCs/>
      <w:i/>
      <w:iCs/>
      <w:color w:val="11497B" w:themeColor="accent1"/>
    </w:rPr>
  </w:style>
  <w:style w:type="paragraph" w:styleId="IntenseQuote">
    <w:name w:val="Intense Quote"/>
    <w:basedOn w:val="Normal"/>
    <w:next w:val="Normal"/>
    <w:link w:val="IntenseQuoteChar"/>
    <w:uiPriority w:val="30"/>
    <w:unhideWhenUsed/>
    <w:rsid w:val="00643A15"/>
    <w:pPr>
      <w:pBdr>
        <w:bottom w:val="single" w:sz="4" w:space="4" w:color="11497B" w:themeColor="accent1"/>
      </w:pBdr>
      <w:spacing w:before="200" w:after="280"/>
      <w:ind w:left="936" w:right="936"/>
    </w:pPr>
    <w:rPr>
      <w:b/>
      <w:bCs/>
      <w:i/>
      <w:iCs/>
      <w:color w:val="11497B" w:themeColor="accent1"/>
    </w:rPr>
  </w:style>
  <w:style w:type="character" w:customStyle="1" w:styleId="IntenseQuoteChar">
    <w:name w:val="Intense Quote Char"/>
    <w:basedOn w:val="DefaultParagraphFont"/>
    <w:link w:val="IntenseQuote"/>
    <w:uiPriority w:val="30"/>
    <w:rsid w:val="00643A15"/>
    <w:rPr>
      <w:rFonts w:asciiTheme="minorHAnsi" w:hAnsiTheme="minorHAnsi"/>
      <w:b/>
      <w:bCs/>
      <w:i/>
      <w:iCs/>
      <w:color w:val="11497B" w:themeColor="accent1"/>
      <w:szCs w:val="22"/>
      <w:lang w:val="en-US"/>
    </w:rPr>
  </w:style>
  <w:style w:type="character" w:styleId="IntenseReference">
    <w:name w:val="Intense Reference"/>
    <w:basedOn w:val="DefaultParagraphFont"/>
    <w:uiPriority w:val="32"/>
    <w:unhideWhenUsed/>
    <w:rsid w:val="00643A15"/>
    <w:rPr>
      <w:b/>
      <w:bCs/>
      <w:smallCaps/>
      <w:color w:val="126AF3" w:themeColor="accent2"/>
      <w:spacing w:val="5"/>
      <w:u w:val="single"/>
    </w:rPr>
  </w:style>
  <w:style w:type="character" w:styleId="Hyperlink">
    <w:name w:val="Hyperlink"/>
    <w:basedOn w:val="DefaultParagraphFont"/>
    <w:uiPriority w:val="99"/>
    <w:unhideWhenUsed/>
    <w:rsid w:val="00643A15"/>
    <w:rPr>
      <w:color w:val="126AF3" w:themeColor="accent2"/>
      <w:u w:val="single"/>
    </w:rPr>
  </w:style>
  <w:style w:type="character" w:styleId="UnresolvedMention">
    <w:name w:val="Unresolved Mention"/>
    <w:basedOn w:val="DefaultParagraphFont"/>
    <w:uiPriority w:val="99"/>
    <w:semiHidden/>
    <w:unhideWhenUsed/>
    <w:rsid w:val="00643A15"/>
    <w:rPr>
      <w:color w:val="605E5C"/>
      <w:shd w:val="clear" w:color="auto" w:fill="E1DFDD"/>
    </w:rPr>
  </w:style>
  <w:style w:type="character" w:styleId="FollowedHyperlink">
    <w:name w:val="FollowedHyperlink"/>
    <w:basedOn w:val="DefaultParagraphFont"/>
    <w:semiHidden/>
    <w:unhideWhenUsed/>
    <w:rsid w:val="00643A15"/>
    <w:rPr>
      <w:color w:val="126AF3" w:themeColor="followedHyperlink"/>
      <w:u w:val="single"/>
    </w:rPr>
  </w:style>
  <w:style w:type="paragraph" w:styleId="Header">
    <w:name w:val="header"/>
    <w:basedOn w:val="Normal"/>
    <w:link w:val="HeaderChar"/>
    <w:rsid w:val="00643A15"/>
    <w:pPr>
      <w:tabs>
        <w:tab w:val="center" w:pos="4986"/>
        <w:tab w:val="right" w:pos="9972"/>
      </w:tabs>
      <w:spacing w:after="0" w:line="240" w:lineRule="auto"/>
    </w:pPr>
    <w:rPr>
      <w:rFonts w:ascii="Calibri" w:eastAsia="Times New Roman" w:hAnsi="Calibri" w:cs="Times New Roman"/>
      <w:kern w:val="0"/>
      <w:sz w:val="24"/>
      <w:szCs w:val="24"/>
      <w:lang w:val="en-GB" w:eastAsia="da-DK"/>
      <w14:ligatures w14:val="none"/>
    </w:rPr>
  </w:style>
  <w:style w:type="character" w:customStyle="1" w:styleId="HeaderChar">
    <w:name w:val="Header Char"/>
    <w:basedOn w:val="DefaultParagraphFont"/>
    <w:link w:val="Header"/>
    <w:rsid w:val="00643A15"/>
    <w:rPr>
      <w:rFonts w:eastAsia="Times New Roman" w:cs="Times New Roman"/>
      <w:kern w:val="0"/>
      <w:sz w:val="24"/>
      <w:lang w:val="en-GB" w:eastAsia="da-DK"/>
      <w14:ligatures w14:val="none"/>
    </w:rPr>
  </w:style>
  <w:style w:type="paragraph" w:styleId="Footer">
    <w:name w:val="footer"/>
    <w:basedOn w:val="Normal"/>
    <w:link w:val="FooterChar"/>
    <w:uiPriority w:val="99"/>
    <w:rsid w:val="00643A15"/>
    <w:pPr>
      <w:tabs>
        <w:tab w:val="center" w:pos="4986"/>
        <w:tab w:val="right" w:pos="9972"/>
      </w:tabs>
      <w:spacing w:after="0" w:line="240" w:lineRule="auto"/>
    </w:pPr>
    <w:rPr>
      <w:rFonts w:ascii="Calibri" w:eastAsia="Times New Roman" w:hAnsi="Calibri" w:cs="Calibri"/>
      <w:color w:val="11497B" w:themeColor="accent1"/>
      <w:kern w:val="0"/>
      <w:sz w:val="17"/>
      <w:szCs w:val="17"/>
      <w:lang w:val="en-GB" w:eastAsia="da-DK"/>
      <w14:ligatures w14:val="none"/>
    </w:rPr>
  </w:style>
  <w:style w:type="character" w:customStyle="1" w:styleId="FooterChar">
    <w:name w:val="Footer Char"/>
    <w:basedOn w:val="DefaultParagraphFont"/>
    <w:link w:val="Footer"/>
    <w:uiPriority w:val="99"/>
    <w:rsid w:val="00643A15"/>
    <w:rPr>
      <w:rFonts w:eastAsia="Times New Roman" w:cs="Calibri"/>
      <w:color w:val="11497B" w:themeColor="accent1"/>
      <w:kern w:val="0"/>
      <w:sz w:val="17"/>
      <w:szCs w:val="17"/>
      <w:lang w:val="en-GB" w:eastAsia="da-DK"/>
      <w14:ligatures w14:val="none"/>
    </w:rPr>
  </w:style>
  <w:style w:type="paragraph" w:styleId="FootnoteText">
    <w:name w:val="footnote text"/>
    <w:basedOn w:val="Normal"/>
    <w:link w:val="FootnoteTextChar"/>
    <w:uiPriority w:val="99"/>
    <w:semiHidden/>
    <w:unhideWhenUsed/>
    <w:rsid w:val="00643A15"/>
    <w:pPr>
      <w:spacing w:after="0" w:line="240" w:lineRule="auto"/>
    </w:pPr>
    <w:rPr>
      <w:rFonts w:ascii="Figtree" w:eastAsia="Figtree" w:hAnsi="Figtree" w:cs="Figtree"/>
      <w:color w:val="0F2C3D"/>
      <w:kern w:val="0"/>
      <w:sz w:val="20"/>
      <w:lang w:val="en-IE" w:eastAsia="ja-JP"/>
      <w14:ligatures w14:val="none"/>
    </w:rPr>
  </w:style>
  <w:style w:type="character" w:customStyle="1" w:styleId="FootnoteTextChar">
    <w:name w:val="Footnote Text Char"/>
    <w:basedOn w:val="DefaultParagraphFont"/>
    <w:link w:val="FootnoteText"/>
    <w:uiPriority w:val="99"/>
    <w:semiHidden/>
    <w:rsid w:val="00643A15"/>
    <w:rPr>
      <w:rFonts w:ascii="Figtree" w:eastAsia="Figtree" w:hAnsi="Figtree" w:cs="Figtree"/>
      <w:color w:val="0F2C3D"/>
      <w:kern w:val="0"/>
      <w:sz w:val="20"/>
      <w:szCs w:val="22"/>
      <w:lang w:val="en-IE" w:eastAsia="ja-JP"/>
      <w14:ligatures w14:val="none"/>
    </w:rPr>
  </w:style>
  <w:style w:type="character" w:styleId="FootnoteReference">
    <w:name w:val="footnote reference"/>
    <w:basedOn w:val="DefaultParagraphFont"/>
    <w:uiPriority w:val="99"/>
    <w:unhideWhenUsed/>
    <w:rsid w:val="00643A15"/>
    <w:rPr>
      <w:vertAlign w:val="superscript"/>
    </w:rPr>
  </w:style>
  <w:style w:type="character" w:styleId="CommentReference">
    <w:name w:val="annotation reference"/>
    <w:basedOn w:val="DefaultParagraphFont"/>
    <w:uiPriority w:val="99"/>
    <w:semiHidden/>
    <w:unhideWhenUsed/>
    <w:rsid w:val="00643A15"/>
    <w:rPr>
      <w:sz w:val="16"/>
      <w:szCs w:val="16"/>
    </w:rPr>
  </w:style>
  <w:style w:type="paragraph" w:styleId="CommentText">
    <w:name w:val="annotation text"/>
    <w:basedOn w:val="Normal"/>
    <w:link w:val="CommentTextChar"/>
    <w:uiPriority w:val="99"/>
    <w:unhideWhenUsed/>
    <w:rsid w:val="005E1F95"/>
    <w:pPr>
      <w:spacing w:line="240" w:lineRule="auto"/>
    </w:pPr>
    <w:rPr>
      <w:sz w:val="20"/>
      <w:szCs w:val="20"/>
    </w:rPr>
  </w:style>
  <w:style w:type="character" w:customStyle="1" w:styleId="CommentTextChar">
    <w:name w:val="Comment Text Char"/>
    <w:basedOn w:val="DefaultParagraphFont"/>
    <w:link w:val="CommentText"/>
    <w:uiPriority w:val="99"/>
    <w:rsid w:val="005E1F95"/>
    <w:rPr>
      <w:sz w:val="20"/>
      <w:szCs w:val="20"/>
      <w:lang w:val="en-GB"/>
    </w:rPr>
  </w:style>
  <w:style w:type="paragraph" w:styleId="CommentSubject">
    <w:name w:val="annotation subject"/>
    <w:basedOn w:val="CommentText"/>
    <w:next w:val="CommentText"/>
    <w:link w:val="CommentSubjectChar"/>
    <w:uiPriority w:val="99"/>
    <w:semiHidden/>
    <w:unhideWhenUsed/>
    <w:rsid w:val="005E1F95"/>
    <w:rPr>
      <w:b/>
      <w:bCs/>
    </w:rPr>
  </w:style>
  <w:style w:type="character" w:customStyle="1" w:styleId="CommentSubjectChar">
    <w:name w:val="Comment Subject Char"/>
    <w:basedOn w:val="CommentTextChar"/>
    <w:link w:val="CommentSubject"/>
    <w:uiPriority w:val="99"/>
    <w:semiHidden/>
    <w:rsid w:val="005E1F95"/>
    <w:rPr>
      <w:b/>
      <w:bCs/>
      <w:sz w:val="20"/>
      <w:szCs w:val="20"/>
      <w:lang w:val="en-GB"/>
    </w:rPr>
  </w:style>
  <w:style w:type="table" w:styleId="TableGrid">
    <w:name w:val="Table Grid"/>
    <w:basedOn w:val="TableNormal"/>
    <w:uiPriority w:val="39"/>
    <w:rsid w:val="00643A1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AB72A1"/>
    <w:rPr>
      <w:rFonts w:ascii="Consolas" w:hAnsi="Consolas"/>
      <w:sz w:val="20"/>
      <w:szCs w:val="20"/>
    </w:rPr>
  </w:style>
  <w:style w:type="character" w:styleId="Emphasis">
    <w:name w:val="Emphasis"/>
    <w:basedOn w:val="DefaultParagraphFont"/>
    <w:rsid w:val="00643A15"/>
    <w:rPr>
      <w:i/>
      <w:iCs/>
    </w:rPr>
  </w:style>
  <w:style w:type="character" w:styleId="BookTitle">
    <w:name w:val="Book Title"/>
    <w:basedOn w:val="DefaultParagraphFont"/>
    <w:uiPriority w:val="33"/>
    <w:unhideWhenUsed/>
    <w:rsid w:val="00643A15"/>
    <w:rPr>
      <w:b/>
      <w:bCs/>
      <w:smallCaps/>
      <w:spacing w:val="5"/>
    </w:rPr>
  </w:style>
  <w:style w:type="paragraph" w:styleId="Caption">
    <w:name w:val="caption"/>
    <w:basedOn w:val="Normal"/>
    <w:next w:val="Normal"/>
    <w:semiHidden/>
    <w:qFormat/>
    <w:rsid w:val="00643A15"/>
    <w:pPr>
      <w:spacing w:after="200" w:line="240" w:lineRule="auto"/>
    </w:pPr>
    <w:rPr>
      <w:rFonts w:ascii="Calibri" w:eastAsia="Times New Roman" w:hAnsi="Calibri" w:cs="Times New Roman"/>
      <w:b/>
      <w:bCs/>
      <w:kern w:val="0"/>
      <w:sz w:val="18"/>
      <w:szCs w:val="18"/>
      <w:lang w:val="en-GB" w:eastAsia="da-DK"/>
      <w14:ligatures w14:val="none"/>
    </w:rPr>
  </w:style>
  <w:style w:type="paragraph" w:styleId="Date">
    <w:name w:val="Date"/>
    <w:basedOn w:val="Normal"/>
    <w:next w:val="Normal"/>
    <w:link w:val="DateChar"/>
    <w:semiHidden/>
    <w:rsid w:val="00643A15"/>
  </w:style>
  <w:style w:type="character" w:customStyle="1" w:styleId="DateChar">
    <w:name w:val="Date Char"/>
    <w:basedOn w:val="DefaultParagraphFont"/>
    <w:link w:val="Date"/>
    <w:semiHidden/>
    <w:rsid w:val="00643A15"/>
    <w:rPr>
      <w:rFonts w:asciiTheme="minorHAnsi" w:hAnsiTheme="minorHAnsi"/>
      <w:szCs w:val="22"/>
      <w:lang w:val="en-US"/>
    </w:rPr>
  </w:style>
  <w:style w:type="character" w:customStyle="1" w:styleId="eop">
    <w:name w:val="eop"/>
    <w:basedOn w:val="DefaultParagraphFont"/>
    <w:rsid w:val="00643A15"/>
  </w:style>
  <w:style w:type="numbering" w:customStyle="1" w:styleId="GFstylebullet">
    <w:name w:val="GF style bullet"/>
    <w:uiPriority w:val="99"/>
    <w:rsid w:val="00643A15"/>
    <w:pPr>
      <w:numPr>
        <w:numId w:val="17"/>
      </w:numPr>
    </w:pPr>
  </w:style>
  <w:style w:type="table" w:styleId="GridTable6Colorful-Accent1">
    <w:name w:val="Grid Table 6 Colorful Accent 1"/>
    <w:basedOn w:val="TableNormal"/>
    <w:uiPriority w:val="51"/>
    <w:rsid w:val="00643A15"/>
    <w:pPr>
      <w:spacing w:after="0" w:line="240" w:lineRule="auto"/>
    </w:pPr>
    <w:rPr>
      <w:rFonts w:asciiTheme="minorHAnsi" w:eastAsiaTheme="minorEastAsia" w:hAnsiTheme="minorHAnsi"/>
      <w:color w:val="0C365B" w:themeColor="accent1" w:themeShade="BF"/>
      <w:sz w:val="24"/>
      <w:lang w:eastAsia="ja-JP"/>
    </w:rPr>
    <w:tblPr>
      <w:tblStyleRowBandSize w:val="1"/>
      <w:tblStyleColBandSize w:val="1"/>
      <w:tblBorders>
        <w:top w:val="single" w:sz="4" w:space="0" w:color="3B94E4" w:themeColor="accent1" w:themeTint="99"/>
        <w:left w:val="single" w:sz="4" w:space="0" w:color="3B94E4" w:themeColor="accent1" w:themeTint="99"/>
        <w:bottom w:val="single" w:sz="4" w:space="0" w:color="3B94E4" w:themeColor="accent1" w:themeTint="99"/>
        <w:right w:val="single" w:sz="4" w:space="0" w:color="3B94E4" w:themeColor="accent1" w:themeTint="99"/>
        <w:insideH w:val="single" w:sz="4" w:space="0" w:color="3B94E4" w:themeColor="accent1" w:themeTint="99"/>
        <w:insideV w:val="single" w:sz="4" w:space="0" w:color="3B94E4" w:themeColor="accent1" w:themeTint="99"/>
      </w:tblBorders>
    </w:tblPr>
    <w:tblStylePr w:type="firstRow">
      <w:rPr>
        <w:b/>
        <w:bCs/>
      </w:rPr>
      <w:tblPr/>
      <w:tcPr>
        <w:tcBorders>
          <w:bottom w:val="single" w:sz="12" w:space="0" w:color="3B94E4" w:themeColor="accent1" w:themeTint="99"/>
        </w:tcBorders>
      </w:tcPr>
    </w:tblStylePr>
    <w:tblStylePr w:type="lastRow">
      <w:rPr>
        <w:b/>
        <w:bCs/>
      </w:rPr>
      <w:tblPr/>
      <w:tcPr>
        <w:tcBorders>
          <w:top w:val="double" w:sz="4" w:space="0" w:color="3B94E4" w:themeColor="accent1" w:themeTint="99"/>
        </w:tcBorders>
      </w:tcPr>
    </w:tblStylePr>
    <w:tblStylePr w:type="firstCol">
      <w:rPr>
        <w:b/>
        <w:bCs/>
      </w:rPr>
    </w:tblStylePr>
    <w:tblStylePr w:type="lastCol">
      <w:rPr>
        <w:b/>
        <w:bCs/>
      </w:rPr>
    </w:tblStylePr>
    <w:tblStylePr w:type="band1Vert">
      <w:tblPr/>
      <w:tcPr>
        <w:shd w:val="clear" w:color="auto" w:fill="BDDBF6" w:themeFill="accent1" w:themeFillTint="33"/>
      </w:tcPr>
    </w:tblStylePr>
    <w:tblStylePr w:type="band1Horz">
      <w:tblPr/>
      <w:tcPr>
        <w:shd w:val="clear" w:color="auto" w:fill="BDDBF6" w:themeFill="accent1" w:themeFillTint="33"/>
      </w:tcPr>
    </w:tblStylePr>
  </w:style>
  <w:style w:type="paragraph" w:styleId="ListBullet">
    <w:name w:val="List Bullet"/>
    <w:basedOn w:val="ListParagraph"/>
    <w:qFormat/>
    <w:rsid w:val="00643A15"/>
    <w:pPr>
      <w:numPr>
        <w:numId w:val="21"/>
      </w:numPr>
    </w:pPr>
    <w:rPr>
      <w:rFonts w:cs="Calibri"/>
    </w:rPr>
  </w:style>
  <w:style w:type="paragraph" w:styleId="ListBullet2">
    <w:name w:val="List Bullet 2"/>
    <w:basedOn w:val="ListBullet"/>
    <w:rsid w:val="00643A15"/>
    <w:pPr>
      <w:ind w:left="568"/>
    </w:pPr>
  </w:style>
  <w:style w:type="paragraph" w:styleId="ListNumber">
    <w:name w:val="List Number"/>
    <w:basedOn w:val="Normal"/>
    <w:qFormat/>
    <w:rsid w:val="00643A15"/>
    <w:pPr>
      <w:numPr>
        <w:numId w:val="23"/>
      </w:numPr>
      <w:spacing w:after="0" w:line="240" w:lineRule="auto"/>
    </w:pPr>
    <w:rPr>
      <w:rFonts w:ascii="Calibri" w:eastAsia="Times New Roman" w:hAnsi="Calibri" w:cs="Times New Roman"/>
      <w:kern w:val="0"/>
      <w:sz w:val="24"/>
      <w:szCs w:val="24"/>
      <w:lang w:val="en-GB" w:eastAsia="da-DK"/>
      <w14:ligatures w14:val="none"/>
    </w:rPr>
  </w:style>
  <w:style w:type="paragraph" w:styleId="NoSpacing">
    <w:name w:val="No Spacing"/>
    <w:uiPriority w:val="1"/>
    <w:unhideWhenUsed/>
    <w:rsid w:val="00643A15"/>
    <w:pPr>
      <w:tabs>
        <w:tab w:val="left" w:pos="992"/>
        <w:tab w:val="left" w:pos="1247"/>
      </w:tabs>
      <w:spacing w:after="0" w:line="240" w:lineRule="auto"/>
    </w:pPr>
    <w:rPr>
      <w:rFonts w:ascii="Grundfos TheSans V2" w:eastAsia="Times New Roman" w:hAnsi="Grundfos TheSans V2" w:cs="Times New Roman"/>
      <w:kern w:val="0"/>
      <w:sz w:val="24"/>
      <w14:ligatures w14:val="none"/>
    </w:rPr>
  </w:style>
  <w:style w:type="paragraph" w:styleId="NormalWeb">
    <w:name w:val="Normal (Web)"/>
    <w:basedOn w:val="Normal"/>
    <w:uiPriority w:val="99"/>
    <w:unhideWhenUsed/>
    <w:rsid w:val="00643A15"/>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normaltextrun">
    <w:name w:val="normaltextrun"/>
    <w:basedOn w:val="DefaultParagraphFont"/>
    <w:rsid w:val="00643A15"/>
  </w:style>
  <w:style w:type="paragraph" w:customStyle="1" w:styleId="paragraph">
    <w:name w:val="paragraph"/>
    <w:basedOn w:val="Normal"/>
    <w:rsid w:val="00643A15"/>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styleId="PlaceholderText">
    <w:name w:val="Placeholder Text"/>
    <w:basedOn w:val="DefaultParagraphFont"/>
    <w:uiPriority w:val="99"/>
    <w:semiHidden/>
    <w:rsid w:val="00643A15"/>
    <w:rPr>
      <w:color w:val="808080"/>
    </w:rPr>
  </w:style>
  <w:style w:type="character" w:customStyle="1" w:styleId="s1">
    <w:name w:val="s1"/>
    <w:basedOn w:val="DefaultParagraphFont"/>
    <w:rsid w:val="00643A15"/>
    <w:rPr>
      <w:rFonts w:ascii=".SFUI-Regular" w:hAnsi=".SFUI-Regular" w:hint="default"/>
      <w:b w:val="0"/>
      <w:bCs w:val="0"/>
      <w:i w:val="0"/>
      <w:iCs w:val="0"/>
      <w:sz w:val="24"/>
      <w:szCs w:val="24"/>
    </w:rPr>
  </w:style>
  <w:style w:type="character" w:styleId="Strong">
    <w:name w:val="Strong"/>
    <w:basedOn w:val="DefaultParagraphFont"/>
    <w:uiPriority w:val="22"/>
    <w:unhideWhenUsed/>
    <w:qFormat/>
    <w:rsid w:val="00643A15"/>
    <w:rPr>
      <w:b/>
      <w:bCs/>
    </w:rPr>
  </w:style>
  <w:style w:type="paragraph" w:customStyle="1" w:styleId="StyleBottomSinglesolidlineAccent2025ptLinewidth">
    <w:name w:val="Style Bottom: (Single solid line Accent 2  025 pt Line width)"/>
    <w:basedOn w:val="Normal"/>
    <w:rsid w:val="00643A15"/>
    <w:pPr>
      <w:pBdr>
        <w:bottom w:val="single" w:sz="2" w:space="1" w:color="126AF3" w:themeColor="accent2"/>
      </w:pBdr>
      <w:spacing w:after="0" w:line="240" w:lineRule="auto"/>
    </w:pPr>
    <w:rPr>
      <w:rFonts w:ascii="Calibri" w:eastAsia="Times New Roman" w:hAnsi="Calibri" w:cs="Times New Roman"/>
      <w:color w:val="126AF3" w:themeColor="accent2"/>
      <w:kern w:val="0"/>
      <w:sz w:val="24"/>
      <w:szCs w:val="20"/>
      <w:lang w:val="en-GB" w:eastAsia="da-DK"/>
      <w14:ligatures w14:val="none"/>
    </w:rPr>
  </w:style>
  <w:style w:type="character" w:styleId="SubtleEmphasis">
    <w:name w:val="Subtle Emphasis"/>
    <w:basedOn w:val="DefaultParagraphFont"/>
    <w:uiPriority w:val="19"/>
    <w:unhideWhenUsed/>
    <w:rsid w:val="00643A15"/>
    <w:rPr>
      <w:i/>
      <w:iCs/>
      <w:color w:val="808080" w:themeColor="text1" w:themeTint="7F"/>
    </w:rPr>
  </w:style>
  <w:style w:type="character" w:styleId="SubtleReference">
    <w:name w:val="Subtle Reference"/>
    <w:basedOn w:val="DefaultParagraphFont"/>
    <w:uiPriority w:val="31"/>
    <w:unhideWhenUsed/>
    <w:rsid w:val="00643A15"/>
    <w:rPr>
      <w:smallCaps/>
      <w:color w:val="126AF3" w:themeColor="accent2"/>
      <w:u w:val="single"/>
    </w:rPr>
  </w:style>
  <w:style w:type="table" w:customStyle="1" w:styleId="TabelGrundfos1">
    <w:name w:val="TabelGrundfos1"/>
    <w:basedOn w:val="TableNormal"/>
    <w:uiPriority w:val="99"/>
    <w:rsid w:val="00643A15"/>
    <w:pPr>
      <w:spacing w:after="0" w:line="240" w:lineRule="auto"/>
    </w:pPr>
    <w:rPr>
      <w:rFonts w:eastAsia="Times New Roman" w:cs="Times New Roman"/>
      <w:kern w:val="0"/>
      <w:sz w:val="24"/>
      <w:szCs w:val="20"/>
      <w14:ligatures w14:val="none"/>
    </w:rPr>
    <w:tblPr>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cPr>
      <w:shd w:val="clear" w:color="auto" w:fill="auto"/>
    </w:tcPr>
    <w:tblStylePr w:type="firstRow">
      <w:rPr>
        <w:rFonts w:ascii="Calibri" w:hAnsi="Calibri"/>
        <w:b/>
        <w:color w:val="11497B" w:themeColor="accent1"/>
        <w:sz w:val="24"/>
      </w:rPr>
      <w:tblPr/>
      <w:tcPr>
        <w:shd w:val="clear" w:color="auto" w:fill="DAEDFF" w:themeFill="accent3" w:themeFillTint="33"/>
      </w:tcPr>
    </w:tblStylePr>
  </w:style>
  <w:style w:type="table" w:customStyle="1" w:styleId="TabelGrundfos2">
    <w:name w:val="TabelGrundfos2"/>
    <w:basedOn w:val="TableNormal"/>
    <w:uiPriority w:val="99"/>
    <w:rsid w:val="00643A15"/>
    <w:pPr>
      <w:spacing w:after="0" w:line="240" w:lineRule="auto"/>
    </w:pPr>
    <w:rPr>
      <w:rFonts w:eastAsia="Times New Roman" w:cs="Times New Roman"/>
      <w:kern w:val="0"/>
      <w:sz w:val="24"/>
      <w:szCs w:val="20"/>
      <w14:ligatures w14:val="none"/>
    </w:rPr>
    <w:tblPr>
      <w:tblStyleRowBandSize w:val="1"/>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blStylePr w:type="firstRow">
      <w:rPr>
        <w:b/>
        <w:color w:val="FFFFFF" w:themeColor="background1"/>
      </w:rPr>
      <w:tblPr/>
      <w:tcPr>
        <w:shd w:val="clear" w:color="auto" w:fill="126AF3" w:themeFill="accent2"/>
      </w:tcPr>
    </w:tblStylePr>
  </w:style>
  <w:style w:type="table" w:customStyle="1" w:styleId="TabelGrundfos3">
    <w:name w:val="TabelGrundfos3"/>
    <w:basedOn w:val="TableNormal"/>
    <w:uiPriority w:val="99"/>
    <w:rsid w:val="00643A15"/>
    <w:pPr>
      <w:spacing w:after="0" w:line="240" w:lineRule="auto"/>
    </w:pPr>
    <w:rPr>
      <w:rFonts w:eastAsia="Times New Roman" w:cs="Times New Roman"/>
      <w:kern w:val="0"/>
      <w:sz w:val="20"/>
      <w:szCs w:val="20"/>
      <w14:ligatures w14:val="none"/>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11497B" w:themeColor="accent1"/>
      </w:rPr>
      <w:tblPr>
        <w:tblCellMar>
          <w:top w:w="108" w:type="dxa"/>
          <w:left w:w="108" w:type="dxa"/>
          <w:bottom w:w="108" w:type="dxa"/>
          <w:right w:w="108" w:type="dxa"/>
        </w:tblCellMar>
      </w:tblPr>
      <w:tcPr>
        <w:shd w:val="clear" w:color="auto" w:fill="E9F1F7" w:themeFill="text2"/>
      </w:tcPr>
    </w:tblStylePr>
  </w:style>
  <w:style w:type="table" w:customStyle="1" w:styleId="TabelGrundfos4">
    <w:name w:val="TabelGrundfos4"/>
    <w:basedOn w:val="TableNormal"/>
    <w:uiPriority w:val="99"/>
    <w:rsid w:val="00643A15"/>
    <w:pPr>
      <w:spacing w:after="0" w:line="240" w:lineRule="auto"/>
    </w:pPr>
    <w:rPr>
      <w:rFonts w:eastAsia="Times New Roman" w:cs="Times New Roman"/>
      <w:kern w:val="0"/>
      <w:sz w:val="24"/>
      <w:szCs w:val="20"/>
      <w14:ligatures w14:val="none"/>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FFFFFF" w:themeColor="background1"/>
      </w:rPr>
      <w:tblPr/>
      <w:tcPr>
        <w:shd w:val="clear" w:color="auto" w:fill="11497B" w:themeFill="accent1"/>
      </w:tcPr>
    </w:tblStylePr>
  </w:style>
  <w:style w:type="paragraph" w:styleId="TOC1">
    <w:name w:val="toc 1"/>
    <w:basedOn w:val="Normal"/>
    <w:next w:val="Normal"/>
    <w:autoRedefine/>
    <w:uiPriority w:val="39"/>
    <w:unhideWhenUsed/>
    <w:rsid w:val="00643A15"/>
    <w:pPr>
      <w:tabs>
        <w:tab w:val="right" w:leader="dot" w:pos="6804"/>
        <w:tab w:val="right" w:leader="dot" w:pos="9639"/>
      </w:tabs>
      <w:spacing w:after="100" w:line="240" w:lineRule="auto"/>
    </w:pPr>
    <w:rPr>
      <w:rFonts w:ascii="Calibri" w:eastAsia="Times New Roman" w:hAnsi="Calibri" w:cs="Times New Roman"/>
      <w:kern w:val="0"/>
      <w:sz w:val="24"/>
      <w:szCs w:val="24"/>
      <w:lang w:val="en-GB" w:eastAsia="da-DK"/>
      <w14:ligatures w14:val="none"/>
    </w:rPr>
  </w:style>
  <w:style w:type="paragraph" w:styleId="TOC2">
    <w:name w:val="toc 2"/>
    <w:basedOn w:val="Normal"/>
    <w:next w:val="Normal"/>
    <w:autoRedefine/>
    <w:uiPriority w:val="39"/>
    <w:unhideWhenUsed/>
    <w:rsid w:val="00643A15"/>
    <w:pPr>
      <w:tabs>
        <w:tab w:val="right" w:leader="dot" w:pos="6804"/>
        <w:tab w:val="right" w:leader="dot" w:pos="9639"/>
      </w:tabs>
      <w:spacing w:after="100" w:line="240" w:lineRule="auto"/>
      <w:ind w:left="240"/>
    </w:pPr>
    <w:rPr>
      <w:rFonts w:ascii="Calibri" w:eastAsia="Times New Roman" w:hAnsi="Calibri" w:cs="Times New Roman"/>
      <w:kern w:val="0"/>
      <w:sz w:val="24"/>
      <w:szCs w:val="24"/>
      <w:lang w:val="en-GB" w:eastAsia="da-DK"/>
      <w14:ligatures w14:val="none"/>
    </w:rPr>
  </w:style>
  <w:style w:type="paragraph" w:styleId="TOC3">
    <w:name w:val="toc 3"/>
    <w:basedOn w:val="Normal"/>
    <w:next w:val="Normal"/>
    <w:autoRedefine/>
    <w:uiPriority w:val="39"/>
    <w:unhideWhenUsed/>
    <w:rsid w:val="00643A15"/>
    <w:pPr>
      <w:tabs>
        <w:tab w:val="right" w:leader="dot" w:pos="6804"/>
        <w:tab w:val="right" w:leader="dot" w:pos="9639"/>
      </w:tabs>
      <w:spacing w:after="100" w:line="240" w:lineRule="auto"/>
      <w:ind w:left="480"/>
    </w:pPr>
    <w:rPr>
      <w:rFonts w:ascii="Calibri" w:eastAsia="Times New Roman" w:hAnsi="Calibri" w:cs="Times New Roman"/>
      <w:kern w:val="0"/>
      <w:sz w:val="24"/>
      <w:szCs w:val="24"/>
      <w:lang w:val="en-GB" w:eastAsia="da-DK"/>
      <w14:ligatures w14:val="none"/>
    </w:rPr>
  </w:style>
  <w:style w:type="paragraph" w:styleId="TOCHeading">
    <w:name w:val="TOC Heading"/>
    <w:basedOn w:val="Heading1"/>
    <w:next w:val="Normal"/>
    <w:uiPriority w:val="39"/>
    <w:unhideWhenUsed/>
    <w:rsid w:val="00643A15"/>
    <w:pPr>
      <w:keepLines/>
      <w:spacing w:before="480"/>
      <w:outlineLvl w:val="9"/>
    </w:pPr>
    <w:rPr>
      <w:rFonts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undfos.com/new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Ngoc.Le\Grundfos\3082363%20-%20CBS%20News%20Article\CBS%20PR%20news\www.grundfo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duct-selection.grundfos.com/uk/industries/healthcare?tab=Explore" TargetMode="External"/><Relationship Id="rId5" Type="http://schemas.openxmlformats.org/officeDocument/2006/relationships/numbering" Target="numbering.xml"/><Relationship Id="rId15" Type="http://schemas.openxmlformats.org/officeDocument/2006/relationships/hyperlink" Target="http://www.grundfos.com/press-off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undfos.com/press-k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long-read/five-years-greener-nhs-progress-forward-lo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oc.Le\AppData\Roaming\Microsoft\Templates\template%20WORD%20UPLOAD%20Grundfos%20news.dotx" TargetMode="External"/></Relationships>
</file>

<file path=word/theme/theme1.xml><?xml version="1.0" encoding="utf-8"?>
<a:theme xmlns:a="http://schemas.openxmlformats.org/drawingml/2006/main" name="Grundfos_Word_Design">
  <a:themeElements>
    <a:clrScheme name="GF Colours Word 01">
      <a:dk1>
        <a:srgbClr val="000000"/>
      </a:dk1>
      <a:lt1>
        <a:srgbClr val="FFFFFF"/>
      </a:lt1>
      <a:dk2>
        <a:srgbClr val="E9F1F7"/>
      </a:dk2>
      <a:lt2>
        <a:srgbClr val="7497B2"/>
      </a:lt2>
      <a:accent1>
        <a:srgbClr val="11497B"/>
      </a:accent1>
      <a:accent2>
        <a:srgbClr val="126AF3"/>
      </a:accent2>
      <a:accent3>
        <a:srgbClr val="47A6FF"/>
      </a:accent3>
      <a:accent4>
        <a:srgbClr val="092844"/>
      </a:accent4>
      <a:accent5>
        <a:srgbClr val="E3C181"/>
      </a:accent5>
      <a:accent6>
        <a:srgbClr val="F0DDBA"/>
      </a:accent6>
      <a:hlink>
        <a:srgbClr val="126AF3"/>
      </a:hlink>
      <a:folHlink>
        <a:srgbClr val="126AF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D7C2FB7A955F49B21FA70F40814A4B" ma:contentTypeVersion="19" ma:contentTypeDescription="Opret et nyt dokument." ma:contentTypeScope="" ma:versionID="ecfa4919b288da71c66c547bbaec9e3d">
  <xsd:schema xmlns:xsd="http://www.w3.org/2001/XMLSchema" xmlns:xs="http://www.w3.org/2001/XMLSchema" xmlns:p="http://schemas.microsoft.com/office/2006/metadata/properties" xmlns:ns2="7bc726f2-1d2f-4304-bc0c-ca6b24648d30" xmlns:ns3="494c5442-1d25-407e-aab6-b3d433f0cf05" targetNamespace="http://schemas.microsoft.com/office/2006/metadata/properties" ma:root="true" ma:fieldsID="04029310ae1d3e0d7413778503209788" ns2:_="" ns3:_="">
    <xsd:import namespace="7bc726f2-1d2f-4304-bc0c-ca6b24648d30"/>
    <xsd:import namespace="494c5442-1d25-407e-aab6-b3d433f0cf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26f2-1d2f-4304-bc0c-ca6b24648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c3b0db1-24e1-4cdd-8f8d-f83065d88a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c5442-1d25-407e-aab6-b3d433f0cf0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bf2b8813-e9c3-493a-964e-6594a5800432}" ma:internalName="TaxCatchAll" ma:showField="CatchAllData" ma:web="494c5442-1d25-407e-aab6-b3d433f0c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94c5442-1d25-407e-aab6-b3d433f0cf05" xsi:nil="true"/>
    <lcf76f155ced4ddcb4097134ff3c332f xmlns="7bc726f2-1d2f-4304-bc0c-ca6b24648d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AC6D42-50C8-41A6-BC03-32DAECF24525}">
  <ds:schemaRefs>
    <ds:schemaRef ds:uri="http://schemas.openxmlformats.org/officeDocument/2006/bibliography"/>
  </ds:schemaRefs>
</ds:datastoreItem>
</file>

<file path=customXml/itemProps2.xml><?xml version="1.0" encoding="utf-8"?>
<ds:datastoreItem xmlns:ds="http://schemas.openxmlformats.org/officeDocument/2006/customXml" ds:itemID="{E3E67C02-98DE-4158-ADA7-301E8FC90814}">
  <ds:schemaRefs>
    <ds:schemaRef ds:uri="http://schemas.microsoft.com/sharepoint/v3/contenttype/forms"/>
  </ds:schemaRefs>
</ds:datastoreItem>
</file>

<file path=customXml/itemProps3.xml><?xml version="1.0" encoding="utf-8"?>
<ds:datastoreItem xmlns:ds="http://schemas.openxmlformats.org/officeDocument/2006/customXml" ds:itemID="{E655AFBC-5EFA-415E-B339-B670D6505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26f2-1d2f-4304-bc0c-ca6b24648d30"/>
    <ds:schemaRef ds:uri="494c5442-1d25-407e-aab6-b3d433f0c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2EBAD-B61D-4622-AF29-7245D9350585}">
  <ds:schemaRefs>
    <ds:schemaRef ds:uri="http://schemas.microsoft.com/office/2006/metadata/properties"/>
    <ds:schemaRef ds:uri="http://schemas.microsoft.com/office/infopath/2007/PartnerControls"/>
    <ds:schemaRef ds:uri="494c5442-1d25-407e-aab6-b3d433f0cf05"/>
    <ds:schemaRef ds:uri="7bc726f2-1d2f-4304-bc0c-ca6b24648d30"/>
  </ds:schemaRefs>
</ds:datastoreItem>
</file>

<file path=docProps/app.xml><?xml version="1.0" encoding="utf-8"?>
<Properties xmlns="http://schemas.openxmlformats.org/officeDocument/2006/extended-properties" xmlns:vt="http://schemas.openxmlformats.org/officeDocument/2006/docPropsVTypes">
  <Template>template WORD UPLOAD Grundfos news.dotx</Template>
  <TotalTime>12</TotalTime>
  <Pages>2</Pages>
  <Words>743</Words>
  <Characters>4821</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Ngoc Bich Thanh Le</cp:lastModifiedBy>
  <cp:revision>8</cp:revision>
  <cp:lastPrinted>2026-02-05T10:15:00Z</cp:lastPrinted>
  <dcterms:created xsi:type="dcterms:W3CDTF">2026-07-03T06:25:00Z</dcterms:created>
  <dcterms:modified xsi:type="dcterms:W3CDTF">2026-07-03T09:20:00Z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0x010100F4D7C2FB7A955F49B21FA70F40814A4B</vt:lpwstr>
  </property>
  <property fmtid="{D5CDD505-2E9C-101B-9397-08002B2CF9AE}" pid="3" name="MediaServiceImageTags">
    <vt:lpwstr/>
  </property>
  <property fmtid="{D5CDD505-2E9C-101B-9397-08002B2CF9AE}" pid="4" name="docLang">
    <vt:lpwstr>en</vt:lpwstr>
  </property>
</Properties>
</file>