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84FB" w14:textId="77777777" w:rsidR="001B3E7B" w:rsidRPr="001E5D17" w:rsidRDefault="001B3E7B" w:rsidP="001B3E7B">
      <w:pPr>
        <w:rPr>
          <w:rFonts w:ascii="Grundfos TheSans SemiLight" w:hAnsi="Grundfos TheSans SemiLight"/>
          <w:sz w:val="32"/>
          <w:szCs w:val="32"/>
        </w:rPr>
      </w:pPr>
      <w:permStart w:id="1364140959" w:edGrp="everyone"/>
      <w:r w:rsidRPr="001E5D17">
        <w:rPr>
          <w:rFonts w:ascii="Grundfos TheSans SemiLight" w:hAnsi="Grundfos TheSans SemiLight"/>
          <w:b/>
          <w:bCs/>
          <w:sz w:val="32"/>
          <w:szCs w:val="32"/>
          <w:lang w:val="en-GB"/>
        </w:rPr>
        <w:t>Grundfos acquires German water treatment company EUWA</w:t>
      </w:r>
      <w:r w:rsidRPr="001E5D17">
        <w:rPr>
          <w:rFonts w:ascii="Grundfos TheSans SemiLight" w:hAnsi="Grundfos TheSans SemiLight"/>
          <w:sz w:val="32"/>
          <w:szCs w:val="32"/>
        </w:rPr>
        <w:t> </w:t>
      </w:r>
    </w:p>
    <w:p w14:paraId="03F06F99" w14:textId="77777777" w:rsidR="001B3E7B" w:rsidRPr="001E5D17" w:rsidRDefault="001B3E7B" w:rsidP="001B3E7B">
      <w:pPr>
        <w:rPr>
          <w:rFonts w:ascii="Grundfos TheSans SemiLight" w:hAnsi="Grundfos TheSans SemiLight"/>
          <w:b/>
          <w:bCs/>
        </w:rPr>
      </w:pPr>
      <w:r w:rsidRPr="001E5D17">
        <w:rPr>
          <w:rFonts w:ascii="Grundfos TheSans SemiLight" w:hAnsi="Grundfos TheSans SemiLight"/>
          <w:b/>
          <w:bCs/>
        </w:rPr>
        <w:t xml:space="preserve">As water challenges grow across the beverage industry, reliable, sustainable and efficient treatment is becoming </w:t>
      </w:r>
      <w:proofErr w:type="gramStart"/>
      <w:r w:rsidRPr="001E5D17">
        <w:rPr>
          <w:rFonts w:ascii="Grundfos TheSans SemiLight" w:hAnsi="Grundfos TheSans SemiLight"/>
          <w:b/>
          <w:bCs/>
        </w:rPr>
        <w:t>business critical</w:t>
      </w:r>
      <w:proofErr w:type="gramEnd"/>
      <w:r w:rsidRPr="001E5D17">
        <w:rPr>
          <w:rFonts w:ascii="Grundfos TheSans SemiLight" w:hAnsi="Grundfos TheSans SemiLight"/>
          <w:b/>
          <w:bCs/>
        </w:rPr>
        <w:t>. The acquisition of EUWA strengthens Grundfos’ strategic ambition to expand its water treatment business and its position in the global beverage sector.</w:t>
      </w:r>
    </w:p>
    <w:p w14:paraId="39F5EEF7"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rPr>
        <w:t xml:space="preserve">Today, Grundfos has completed the acquisition of the German water treatment specialist EUWA, strengthening its water treatment business in the beverage industry. EUWA designs and delivers water treatment solutions for brewing and soft drink production, with installations in more than 110 countries. It serves some of the world’s largest and most </w:t>
      </w:r>
      <w:proofErr w:type="spellStart"/>
      <w:r w:rsidRPr="001E5D17">
        <w:rPr>
          <w:rFonts w:ascii="Grundfos TheSans SemiLight" w:hAnsi="Grundfos TheSans SemiLight"/>
        </w:rPr>
        <w:t>recognised</w:t>
      </w:r>
      <w:proofErr w:type="spellEnd"/>
      <w:r w:rsidRPr="001E5D17">
        <w:rPr>
          <w:rFonts w:ascii="Grundfos TheSans SemiLight" w:hAnsi="Grundfos TheSans SemiLight"/>
        </w:rPr>
        <w:t xml:space="preserve"> beverage companies.</w:t>
      </w:r>
    </w:p>
    <w:p w14:paraId="2ADD3DEB"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rPr>
        <w:t xml:space="preserve">Renowned for strong technological and engineering expertise, EUWA offers solutions covering the full clean water cycle in the beverage industry. Its strength lies in deep process know-how and flexible, efficient and </w:t>
      </w:r>
      <w:proofErr w:type="spellStart"/>
      <w:r w:rsidRPr="001E5D17">
        <w:rPr>
          <w:rFonts w:ascii="Grundfos TheSans SemiLight" w:hAnsi="Grundfos TheSans SemiLight"/>
        </w:rPr>
        <w:t>customised</w:t>
      </w:r>
      <w:proofErr w:type="spellEnd"/>
      <w:r w:rsidRPr="001E5D17">
        <w:rPr>
          <w:rFonts w:ascii="Grundfos TheSans SemiLight" w:hAnsi="Grundfos TheSans SemiLight"/>
        </w:rPr>
        <w:t xml:space="preserve"> solutions that help </w:t>
      </w:r>
      <w:proofErr w:type="spellStart"/>
      <w:r w:rsidRPr="001E5D17">
        <w:rPr>
          <w:rFonts w:ascii="Grundfos TheSans SemiLight" w:hAnsi="Grundfos TheSans SemiLight"/>
        </w:rPr>
        <w:t>minimise</w:t>
      </w:r>
      <w:proofErr w:type="spellEnd"/>
      <w:r w:rsidRPr="001E5D17">
        <w:rPr>
          <w:rFonts w:ascii="Grundfos TheSans SemiLight" w:hAnsi="Grundfos TheSans SemiLight"/>
        </w:rPr>
        <w:t xml:space="preserve"> water, chemical and energy use.</w:t>
      </w:r>
    </w:p>
    <w:p w14:paraId="049D1F17"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rPr>
        <w:t>Tom Finke, Head of Water Treatment at Grundfos, commented on the acquisition:</w:t>
      </w:r>
      <w:r w:rsidRPr="001E5D17">
        <w:rPr>
          <w:rFonts w:ascii="Grundfos TheSans SemiLight" w:hAnsi="Grundfos TheSans SemiLight"/>
        </w:rPr>
        <w:br/>
      </w:r>
      <w:r w:rsidRPr="00FB5011">
        <w:rPr>
          <w:rFonts w:ascii="Grundfos TheSans SemiLight" w:hAnsi="Grundfos TheSans SemiLight"/>
          <w:i/>
          <w:iCs/>
        </w:rPr>
        <w:t>“EUWA, like Grundfos, is a family-founded business guided by strong values and a clear commitment to sustainability. Its strong process know-how and differentiated technology, including hygienic design for beverage applications, will strengthen our ability to solve complex challenges in the clean water cycle for our customers. This is a natural step in expanding our water treatment platform and better serving the beverage industry.”</w:t>
      </w:r>
    </w:p>
    <w:p w14:paraId="1ABE6A1C"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rPr>
        <w:t>The acquisition of EUWA reflects Grundfos’ strategic ambition to expand its water treatment business. It builds on a series of recent investments to strengthen capabilities and broaden offerings across markets and applications.</w:t>
      </w:r>
    </w:p>
    <w:p w14:paraId="15F962DB" w14:textId="77777777" w:rsidR="001B3E7B" w:rsidRPr="00A56CBD" w:rsidRDefault="001B3E7B" w:rsidP="001B3E7B">
      <w:pPr>
        <w:rPr>
          <w:rFonts w:ascii="Grundfos TheSans SemiLight" w:hAnsi="Grundfos TheSans SemiLight"/>
        </w:rPr>
      </w:pPr>
      <w:r w:rsidRPr="00FB5011">
        <w:rPr>
          <w:rFonts w:ascii="Grundfos TheSans SemiLight" w:hAnsi="Grundfos TheSans SemiLight"/>
          <w:i/>
          <w:iCs/>
        </w:rPr>
        <w:t>“I’m incredibly proud that the legacy and solutions by Euwa – shaped by strong values and close customer relationships – can now be brought to even more customers around the world. Grundfos’ recognition of what we have built gives me great confidence that Euwa will continue to grow and serve our customers well, and I’m looking forward to following the journey ahead,”</w:t>
      </w:r>
      <w:r>
        <w:rPr>
          <w:rFonts w:ascii="Grundfos TheSans SemiLight" w:hAnsi="Grundfos TheSans SemiLight"/>
        </w:rPr>
        <w:t xml:space="preserve"> said Michael Eumann, Director of Euwa.</w:t>
      </w:r>
    </w:p>
    <w:p w14:paraId="1B522542"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rPr>
        <w:t>EUWA becomes part of Grundfos with immediate effect. The focus will be on smooth integration, maintaining continuity and ensuring stability for customers, partners and employees.</w:t>
      </w:r>
    </w:p>
    <w:p w14:paraId="396C0335" w14:textId="77777777" w:rsidR="001B3E7B" w:rsidRDefault="001B3E7B" w:rsidP="001B3E7B">
      <w:pPr>
        <w:rPr>
          <w:rFonts w:ascii="Grundfos TheSans SemiLight" w:hAnsi="Grundfos TheSans SemiLight"/>
          <w:b/>
          <w:bCs/>
        </w:rPr>
      </w:pPr>
    </w:p>
    <w:p w14:paraId="7FC3E4DD" w14:textId="77777777" w:rsidR="001B3E7B" w:rsidRPr="001E5D17" w:rsidRDefault="001B3E7B" w:rsidP="001B3E7B">
      <w:pPr>
        <w:rPr>
          <w:rFonts w:ascii="Grundfos TheSans SemiLight" w:hAnsi="Grundfos TheSans SemiLight"/>
        </w:rPr>
      </w:pPr>
      <w:r w:rsidRPr="001E5D17">
        <w:rPr>
          <w:rFonts w:ascii="Grundfos TheSans SemiLight" w:hAnsi="Grundfos TheSans SemiLight"/>
          <w:b/>
          <w:bCs/>
        </w:rPr>
        <w:t>About Grundfos</w:t>
      </w:r>
      <w:r w:rsidRPr="001E5D17">
        <w:rPr>
          <w:rFonts w:ascii="Grundfos TheSans SemiLight" w:hAnsi="Grundfos TheSans SemiLight"/>
        </w:rPr>
        <w:br/>
      </w:r>
      <w:proofErr w:type="spellStart"/>
      <w:r w:rsidRPr="001E5D17">
        <w:rPr>
          <w:rFonts w:ascii="Grundfos TheSans SemiLight" w:hAnsi="Grundfos TheSans SemiLight"/>
        </w:rPr>
        <w:t>Grundfos</w:t>
      </w:r>
      <w:proofErr w:type="spellEnd"/>
      <w:r w:rsidRPr="001E5D17">
        <w:rPr>
          <w:rFonts w:ascii="Grundfos TheSans SemiLight" w:hAnsi="Grundfos TheSans SemiLight"/>
        </w:rPr>
        <w:t xml:space="preserve"> </w:t>
      </w:r>
      <w:proofErr w:type="gramStart"/>
      <w:r w:rsidRPr="001E5D17">
        <w:rPr>
          <w:rFonts w:ascii="Grundfos TheSans SemiLight" w:hAnsi="Grundfos TheSans SemiLight"/>
        </w:rPr>
        <w:t>pioneers</w:t>
      </w:r>
      <w:proofErr w:type="gramEnd"/>
      <w:r w:rsidRPr="001E5D17">
        <w:rPr>
          <w:rFonts w:ascii="Grundfos TheSans SemiLight" w:hAnsi="Grundfos TheSans SemiLight"/>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w:t>
      </w:r>
    </w:p>
    <w:p w14:paraId="78300220" w14:textId="40140115" w:rsidR="00AE1299" w:rsidRDefault="001B3E7B" w:rsidP="00486858">
      <w:pPr>
        <w:jc w:val="both"/>
      </w:pPr>
      <w:r w:rsidRPr="001E5D17">
        <w:rPr>
          <w:rFonts w:ascii="Grundfos TheSans SemiLight" w:hAnsi="Grundfos TheSans SemiLight"/>
          <w:b/>
          <w:bCs/>
        </w:rPr>
        <w:t>About EUWA</w:t>
      </w:r>
      <w:r w:rsidRPr="001E5D17">
        <w:rPr>
          <w:rFonts w:ascii="Grundfos TheSans SemiLight" w:hAnsi="Grundfos TheSans SemiLight"/>
        </w:rPr>
        <w:br/>
      </w:r>
      <w:proofErr w:type="spellStart"/>
      <w:r w:rsidRPr="001E5D17">
        <w:rPr>
          <w:rFonts w:ascii="Grundfos TheSans SemiLight" w:hAnsi="Grundfos TheSans SemiLight"/>
        </w:rPr>
        <w:t>EUWA</w:t>
      </w:r>
      <w:proofErr w:type="spellEnd"/>
      <w:r w:rsidRPr="001E5D17">
        <w:rPr>
          <w:rFonts w:ascii="Grundfos TheSans SemiLight" w:hAnsi="Grundfos TheSans SemiLight"/>
        </w:rPr>
        <w:t xml:space="preserve"> is a family-founded company established in 1965. The company </w:t>
      </w:r>
      <w:proofErr w:type="spellStart"/>
      <w:r w:rsidRPr="001E5D17">
        <w:rPr>
          <w:rFonts w:ascii="Grundfos TheSans SemiLight" w:hAnsi="Grundfos TheSans SemiLight"/>
        </w:rPr>
        <w:t>specialises</w:t>
      </w:r>
      <w:proofErr w:type="spellEnd"/>
      <w:r w:rsidRPr="001E5D17">
        <w:rPr>
          <w:rFonts w:ascii="Grundfos TheSans SemiLight" w:hAnsi="Grundfos TheSans SemiLight"/>
        </w:rPr>
        <w:t xml:space="preserve"> in water treatment systems for the brewing and beverage industry, with systems deployed in more than 110 countries worldwide. EUWA is based in </w:t>
      </w:r>
      <w:proofErr w:type="spellStart"/>
      <w:r w:rsidRPr="001E5D17">
        <w:rPr>
          <w:rFonts w:ascii="Grundfos TheSans SemiLight" w:hAnsi="Grundfos TheSans SemiLight"/>
        </w:rPr>
        <w:t>Gärtringen</w:t>
      </w:r>
      <w:proofErr w:type="spellEnd"/>
      <w:r w:rsidRPr="001E5D17">
        <w:rPr>
          <w:rFonts w:ascii="Grundfos TheSans SemiLight" w:hAnsi="Grundfos TheSans SemiLight"/>
        </w:rPr>
        <w:t>, Germany, and has an office in Singapore.</w:t>
      </w:r>
      <w:r w:rsidR="00D61746">
        <w:t xml:space="preserve"> </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1"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2"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3"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4"/>
      <w:footerReference w:type="default" r:id="rId15"/>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630" w14:textId="77777777" w:rsidR="006D6707" w:rsidRDefault="006D6707" w:rsidP="00924CFE">
      <w:r>
        <w:separator/>
      </w:r>
    </w:p>
  </w:endnote>
  <w:endnote w:type="continuationSeparator" w:id="0">
    <w:p w14:paraId="30117F66" w14:textId="77777777" w:rsidR="006D6707" w:rsidRDefault="006D6707"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Grundfos TheSans SemiLight">
    <w:panose1 w:val="020B04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5ABE" w14:textId="77777777" w:rsidR="006D6707" w:rsidRDefault="006D6707" w:rsidP="00924CFE">
      <w:r>
        <w:separator/>
      </w:r>
    </w:p>
  </w:footnote>
  <w:footnote w:type="continuationSeparator" w:id="0">
    <w:p w14:paraId="0751A63B" w14:textId="77777777" w:rsidR="006D6707" w:rsidRDefault="006D6707"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C6B64"/>
    <w:multiLevelType w:val="hybridMultilevel"/>
    <w:tmpl w:val="4BFEB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E6BC0"/>
    <w:multiLevelType w:val="multilevel"/>
    <w:tmpl w:val="F1A8737A"/>
    <w:numStyleLink w:val="GFstylebullet"/>
  </w:abstractNum>
  <w:abstractNum w:abstractNumId="14"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7" w15:restartNumberingAfterBreak="0">
    <w:nsid w:val="5FB9787E"/>
    <w:multiLevelType w:val="hybridMultilevel"/>
    <w:tmpl w:val="7512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5"/>
  </w:num>
  <w:num w:numId="24" w16cid:durableId="68770301">
    <w:abstractNumId w:val="18"/>
  </w:num>
  <w:num w:numId="25" w16cid:durableId="752699051">
    <w:abstractNumId w:val="16"/>
  </w:num>
  <w:num w:numId="26" w16cid:durableId="372120612">
    <w:abstractNumId w:val="13"/>
  </w:num>
  <w:num w:numId="27" w16cid:durableId="748505568">
    <w:abstractNumId w:val="19"/>
  </w:num>
  <w:num w:numId="28" w16cid:durableId="2102293284">
    <w:abstractNumId w:val="19"/>
  </w:num>
  <w:num w:numId="29" w16cid:durableId="104156824">
    <w:abstractNumId w:val="16"/>
  </w:num>
  <w:num w:numId="30" w16cid:durableId="976642295">
    <w:abstractNumId w:val="13"/>
  </w:num>
  <w:num w:numId="31" w16cid:durableId="1367218747">
    <w:abstractNumId w:val="19"/>
  </w:num>
  <w:num w:numId="32" w16cid:durableId="187836470">
    <w:abstractNumId w:val="19"/>
  </w:num>
  <w:num w:numId="33" w16cid:durableId="384180539">
    <w:abstractNumId w:val="13"/>
  </w:num>
  <w:num w:numId="34" w16cid:durableId="37051309">
    <w:abstractNumId w:val="19"/>
  </w:num>
  <w:num w:numId="35" w16cid:durableId="1360811746">
    <w:abstractNumId w:val="19"/>
  </w:num>
  <w:num w:numId="36" w16cid:durableId="1939099485">
    <w:abstractNumId w:val="14"/>
  </w:num>
  <w:num w:numId="37" w16cid:durableId="944653139">
    <w:abstractNumId w:val="11"/>
  </w:num>
  <w:num w:numId="38" w16cid:durableId="1480263566">
    <w:abstractNumId w:val="12"/>
  </w:num>
  <w:num w:numId="39" w16cid:durableId="1525710765">
    <w:abstractNumId w:val="17"/>
  </w:num>
  <w:num w:numId="40" w16cid:durableId="1688867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0B29"/>
    <w:rsid w:val="000428C5"/>
    <w:rsid w:val="000464BF"/>
    <w:rsid w:val="00053620"/>
    <w:rsid w:val="00057D36"/>
    <w:rsid w:val="0006000C"/>
    <w:rsid w:val="00064964"/>
    <w:rsid w:val="00064DA0"/>
    <w:rsid w:val="0007186E"/>
    <w:rsid w:val="00072995"/>
    <w:rsid w:val="00073622"/>
    <w:rsid w:val="00083293"/>
    <w:rsid w:val="00083CCE"/>
    <w:rsid w:val="00083DBD"/>
    <w:rsid w:val="00084213"/>
    <w:rsid w:val="00084E1F"/>
    <w:rsid w:val="00085381"/>
    <w:rsid w:val="00093F72"/>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B3E7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5416F"/>
    <w:rsid w:val="00262723"/>
    <w:rsid w:val="00265495"/>
    <w:rsid w:val="0026604A"/>
    <w:rsid w:val="00266A14"/>
    <w:rsid w:val="002728A5"/>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87B8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03ED"/>
    <w:rsid w:val="00693848"/>
    <w:rsid w:val="006A73D1"/>
    <w:rsid w:val="006B2E87"/>
    <w:rsid w:val="006B53EE"/>
    <w:rsid w:val="006B6AFC"/>
    <w:rsid w:val="006C7107"/>
    <w:rsid w:val="006C7333"/>
    <w:rsid w:val="006D0387"/>
    <w:rsid w:val="006D4FF4"/>
    <w:rsid w:val="006D6707"/>
    <w:rsid w:val="006E03FF"/>
    <w:rsid w:val="006E50C4"/>
    <w:rsid w:val="006F01B2"/>
    <w:rsid w:val="006F258C"/>
    <w:rsid w:val="006F3841"/>
    <w:rsid w:val="006F3DA8"/>
    <w:rsid w:val="006F6984"/>
    <w:rsid w:val="00702A7F"/>
    <w:rsid w:val="00703E04"/>
    <w:rsid w:val="00705BD2"/>
    <w:rsid w:val="00715408"/>
    <w:rsid w:val="00715973"/>
    <w:rsid w:val="007235E7"/>
    <w:rsid w:val="00731159"/>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1720B"/>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4FC4"/>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42BE4"/>
    <w:rsid w:val="00954878"/>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190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1247"/>
    <w:rsid w:val="00CA486B"/>
    <w:rsid w:val="00CA5740"/>
    <w:rsid w:val="00CB0A08"/>
    <w:rsid w:val="00CC6FFE"/>
    <w:rsid w:val="00CD0BA4"/>
    <w:rsid w:val="00CD4559"/>
    <w:rsid w:val="00CD7DAB"/>
    <w:rsid w:val="00CE3EB3"/>
    <w:rsid w:val="00D0250E"/>
    <w:rsid w:val="00D0266C"/>
    <w:rsid w:val="00D05E45"/>
    <w:rsid w:val="00D10C1B"/>
    <w:rsid w:val="00D16A3F"/>
    <w:rsid w:val="00D17E70"/>
    <w:rsid w:val="00D31205"/>
    <w:rsid w:val="00D3169A"/>
    <w:rsid w:val="00D31AC2"/>
    <w:rsid w:val="00D354D6"/>
    <w:rsid w:val="00D40391"/>
    <w:rsid w:val="00D538C7"/>
    <w:rsid w:val="00D61746"/>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01D2"/>
    <w:rsid w:val="00E2149D"/>
    <w:rsid w:val="00E22B18"/>
    <w:rsid w:val="00E2438A"/>
    <w:rsid w:val="00E278C7"/>
    <w:rsid w:val="00E30983"/>
    <w:rsid w:val="00E31F5B"/>
    <w:rsid w:val="00E33F8B"/>
    <w:rsid w:val="00E34145"/>
    <w:rsid w:val="00E43FB9"/>
    <w:rsid w:val="00E453EB"/>
    <w:rsid w:val="00E51E24"/>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off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press-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undfos.com/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2.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3.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4.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516</Words>
  <Characters>3018</Characters>
  <Application>Microsoft Office Word</Application>
  <DocSecurity>8</DocSecurity>
  <Lines>49</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2026-06-25T11:43:00Z</dcterms:created>
  <dcterms:modified xsi:type="dcterms:W3CDTF">2026-06-25T11:43:00Z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