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75AC" w14:textId="77777777" w:rsidR="006E444E" w:rsidRDefault="006E444E" w:rsidP="006E444E">
      <w:pPr>
        <w:pStyle w:val="Heading1"/>
        <w:rPr>
          <w:lang w:val="en-GB"/>
        </w:rPr>
      </w:pPr>
      <w:permStart w:id="1364140959" w:edGrp="everyone"/>
      <w:r w:rsidRPr="008C3D7C">
        <w:rPr>
          <w:lang w:val="en-GB"/>
        </w:rPr>
        <w:t>Grundfos reports strong</w:t>
      </w:r>
      <w:r>
        <w:rPr>
          <w:lang w:val="en-GB"/>
        </w:rPr>
        <w:t xml:space="preserve"> </w:t>
      </w:r>
      <w:r w:rsidRPr="008C3D7C">
        <w:rPr>
          <w:lang w:val="en-GB"/>
        </w:rPr>
        <w:t xml:space="preserve">growth </w:t>
      </w:r>
      <w:r>
        <w:rPr>
          <w:lang w:val="en-GB"/>
        </w:rPr>
        <w:t>in first half</w:t>
      </w:r>
      <w:r w:rsidRPr="008C3D7C">
        <w:rPr>
          <w:lang w:val="en-GB"/>
        </w:rPr>
        <w:t xml:space="preserve"> </w:t>
      </w:r>
      <w:r>
        <w:rPr>
          <w:lang w:val="en-GB"/>
        </w:rPr>
        <w:t xml:space="preserve">of </w:t>
      </w:r>
      <w:r w:rsidRPr="008C3D7C">
        <w:rPr>
          <w:lang w:val="en-GB"/>
        </w:rPr>
        <w:t>2026</w:t>
      </w:r>
    </w:p>
    <w:p w14:paraId="12B3FA83" w14:textId="77777777" w:rsidR="006E444E" w:rsidRPr="006E444E" w:rsidRDefault="006E444E" w:rsidP="006E444E">
      <w:pPr>
        <w:rPr>
          <w:lang w:val="en-GB" w:eastAsia="da-DK"/>
        </w:rPr>
      </w:pPr>
    </w:p>
    <w:p w14:paraId="75E831CE" w14:textId="77777777" w:rsidR="006E444E" w:rsidRDefault="006E444E" w:rsidP="006E444E">
      <w:pPr>
        <w:rPr>
          <w:rFonts w:ascii="Grundfos TheSans SemiLight" w:hAnsi="Grundfos TheSans SemiLight"/>
          <w:b/>
          <w:bCs/>
          <w:i/>
          <w:iCs/>
          <w:sz w:val="20"/>
          <w:szCs w:val="20"/>
          <w:lang w:val="en-GB"/>
        </w:rPr>
      </w:pPr>
      <w:r w:rsidRPr="19CEB4A3">
        <w:rPr>
          <w:rFonts w:ascii="Grundfos TheSans SemiLight" w:hAnsi="Grundfos TheSans SemiLight"/>
          <w:b/>
          <w:bCs/>
          <w:i/>
          <w:iCs/>
          <w:sz w:val="20"/>
          <w:szCs w:val="20"/>
          <w:lang w:val="en-GB"/>
        </w:rPr>
        <w:t>Solid growth across markets and solutions, combined with sustained strong demand for data centre solutions drive first-half performance</w:t>
      </w:r>
      <w:r>
        <w:rPr>
          <w:rFonts w:ascii="Grundfos TheSans SemiLight" w:hAnsi="Grundfos TheSans SemiLight"/>
          <w:b/>
          <w:bCs/>
          <w:i/>
          <w:iCs/>
          <w:sz w:val="20"/>
          <w:szCs w:val="20"/>
          <w:lang w:val="en-GB"/>
        </w:rPr>
        <w:t xml:space="preserve">. </w:t>
      </w:r>
      <w:r w:rsidRPr="19CEB4A3">
        <w:rPr>
          <w:rFonts w:ascii="Grundfos TheSans SemiLight" w:hAnsi="Grundfos TheSans SemiLight"/>
          <w:b/>
          <w:bCs/>
          <w:i/>
          <w:iCs/>
          <w:sz w:val="20"/>
          <w:szCs w:val="20"/>
          <w:lang w:val="en-GB"/>
        </w:rPr>
        <w:t>Grundfos expands production capacity</w:t>
      </w:r>
      <w:r>
        <w:rPr>
          <w:rFonts w:ascii="Grundfos TheSans SemiLight" w:hAnsi="Grundfos TheSans SemiLight"/>
          <w:b/>
          <w:bCs/>
          <w:i/>
          <w:iCs/>
          <w:sz w:val="20"/>
          <w:szCs w:val="20"/>
          <w:lang w:val="en-GB"/>
        </w:rPr>
        <w:t xml:space="preserve"> in high-efficiency motors.</w:t>
      </w:r>
    </w:p>
    <w:p w14:paraId="67CBA25F" w14:textId="77777777" w:rsidR="006E444E" w:rsidRDefault="006E444E" w:rsidP="006E444E">
      <w:pPr>
        <w:rPr>
          <w:rFonts w:ascii="Grundfos TheSans SemiLight" w:hAnsi="Grundfos TheSans SemiLight"/>
          <w:sz w:val="20"/>
          <w:szCs w:val="20"/>
          <w:lang w:val="en-GB"/>
        </w:rPr>
      </w:pPr>
      <w:r w:rsidRPr="008C3D7C">
        <w:rPr>
          <w:rFonts w:ascii="Grundfos TheSans SemiLight" w:hAnsi="Grundfos TheSans SemiLight"/>
          <w:sz w:val="20"/>
          <w:szCs w:val="20"/>
          <w:lang w:val="en-GB"/>
        </w:rPr>
        <w:t xml:space="preserve">Grundfos, one of the world’s leading companies in energy-efficient water solutions, </w:t>
      </w:r>
      <w:r>
        <w:rPr>
          <w:rFonts w:ascii="Grundfos TheSans SemiLight" w:hAnsi="Grundfos TheSans SemiLight"/>
          <w:sz w:val="20"/>
          <w:szCs w:val="20"/>
          <w:lang w:val="en-GB"/>
        </w:rPr>
        <w:t>has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 xml:space="preserve"> announced its results for the first six months of 2026.</w:t>
      </w:r>
      <w:r w:rsidRPr="00F952C1">
        <w:rPr>
          <w:rFonts w:ascii="Grundfos TheSans SemiLight" w:hAnsi="Grundfos TheSans SemiLight"/>
          <w:sz w:val="20"/>
          <w:szCs w:val="20"/>
          <w:lang w:val="en-GB"/>
        </w:rPr>
        <w:t xml:space="preserve"> </w:t>
      </w:r>
    </w:p>
    <w:p w14:paraId="0A20FE24" w14:textId="77777777" w:rsidR="006E444E" w:rsidRDefault="006E444E" w:rsidP="006E444E">
      <w:pPr>
        <w:rPr>
          <w:rFonts w:ascii="Grundfos TheSans SemiLight" w:hAnsi="Grundfos TheSans SemiLight"/>
          <w:sz w:val="20"/>
          <w:szCs w:val="20"/>
          <w:lang w:val="en-GB"/>
        </w:rPr>
      </w:pPr>
      <w:r w:rsidRPr="19CEB4A3">
        <w:rPr>
          <w:rFonts w:ascii="Grundfos TheSans SemiLight" w:hAnsi="Grundfos TheSans SemiLight"/>
          <w:sz w:val="20"/>
          <w:szCs w:val="20"/>
          <w:lang w:val="en-GB"/>
        </w:rPr>
        <w:t>Building on the momentum from 2025, Grundfos delivered strong sales growth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 xml:space="preserve">of 7.7% in the first half of the year. Grundfos maintained a healthy level of profitability 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despite </w:t>
      </w:r>
      <w:r w:rsidRPr="005870C1">
        <w:rPr>
          <w:rFonts w:ascii="Grundfos TheSans SemiLight" w:hAnsi="Grundfos TheSans SemiLight"/>
          <w:sz w:val="20"/>
          <w:szCs w:val="20"/>
          <w:lang w:val="en-GB"/>
        </w:rPr>
        <w:t>increases in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 xml:space="preserve"> raw material </w:t>
      </w:r>
      <w:r w:rsidRPr="005870C1">
        <w:rPr>
          <w:rFonts w:ascii="Grundfos TheSans SemiLight" w:hAnsi="Grundfos TheSans SemiLight"/>
          <w:sz w:val="20"/>
          <w:szCs w:val="20"/>
          <w:lang w:val="en-GB"/>
        </w:rPr>
        <w:t>prices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and negative currency impacts</w:t>
      </w:r>
      <w:r w:rsidRPr="005870C1">
        <w:rPr>
          <w:rFonts w:ascii="Grundfos TheSans SemiLight" w:hAnsi="Grundfos TheSans SemiLight"/>
          <w:sz w:val="20"/>
          <w:szCs w:val="20"/>
          <w:lang w:val="en-GB"/>
        </w:rPr>
        <w:t>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E444E" w:rsidRPr="008C3D7C" w14:paraId="515A5E88" w14:textId="77777777" w:rsidTr="00731A82">
        <w:tc>
          <w:tcPr>
            <w:tcW w:w="8926" w:type="dxa"/>
            <w:shd w:val="clear" w:color="auto" w:fill="EAF2F7" w:themeFill="text2" w:themeFillTint="E6"/>
          </w:tcPr>
          <w:p w14:paraId="2EC26693" w14:textId="77777777" w:rsidR="006E444E" w:rsidRPr="008C3D7C" w:rsidRDefault="006E444E" w:rsidP="00731A82">
            <w:pPr>
              <w:pStyle w:val="ListParagraph"/>
              <w:rPr>
                <w:rFonts w:ascii="Grundfos TheSans SemiLight" w:hAnsi="Grundfos TheSans SemiLight"/>
                <w:sz w:val="20"/>
                <w:szCs w:val="20"/>
              </w:rPr>
            </w:pPr>
          </w:p>
          <w:p w14:paraId="72E5D16B" w14:textId="77777777" w:rsidR="006E444E" w:rsidRPr="008A53DA" w:rsidRDefault="006E444E" w:rsidP="006E444E">
            <w:pPr>
              <w:pStyle w:val="ListParagraph"/>
              <w:numPr>
                <w:ilvl w:val="0"/>
                <w:numId w:val="41"/>
              </w:numPr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</w:pPr>
            <w:r w:rsidRPr="008A53DA"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  <w:t>Sales growth: 7.7%</w:t>
            </w:r>
            <w:r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  <w:t xml:space="preserve"> (local currencies)</w:t>
            </w:r>
          </w:p>
          <w:p w14:paraId="759FE2AA" w14:textId="77777777" w:rsidR="006E444E" w:rsidRPr="008A53DA" w:rsidRDefault="006E444E" w:rsidP="006E444E">
            <w:pPr>
              <w:pStyle w:val="ListParagraph"/>
              <w:numPr>
                <w:ilvl w:val="0"/>
                <w:numId w:val="41"/>
              </w:numPr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</w:pPr>
            <w:r w:rsidRPr="008A53DA"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  <w:t>Revenue: 17.9bn DKK</w:t>
            </w:r>
          </w:p>
          <w:p w14:paraId="11C78A13" w14:textId="77777777" w:rsidR="006E444E" w:rsidRPr="008A53DA" w:rsidRDefault="006E444E" w:rsidP="006E444E">
            <w:pPr>
              <w:pStyle w:val="ListParagraph"/>
              <w:numPr>
                <w:ilvl w:val="0"/>
                <w:numId w:val="41"/>
              </w:numPr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</w:pPr>
            <w:r w:rsidRPr="008A53DA"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  <w:t>EBIT before special items: 1.6bn DKK</w:t>
            </w:r>
          </w:p>
          <w:p w14:paraId="2F08A730" w14:textId="77777777" w:rsidR="006E444E" w:rsidRPr="008A53DA" w:rsidRDefault="006E444E" w:rsidP="006E444E">
            <w:pPr>
              <w:pStyle w:val="ListParagraph"/>
              <w:numPr>
                <w:ilvl w:val="0"/>
                <w:numId w:val="41"/>
              </w:numPr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</w:pPr>
            <w:r w:rsidRPr="008A53DA">
              <w:rPr>
                <w:rFonts w:ascii="Grundfos TheSans SemiLight" w:hAnsi="Grundfos TheSans SemiLight"/>
                <w:b/>
                <w:bCs/>
                <w:sz w:val="22"/>
                <w:szCs w:val="22"/>
              </w:rPr>
              <w:t>EBIT ratio (before special items): 9.2%</w:t>
            </w:r>
          </w:p>
          <w:p w14:paraId="7A029D52" w14:textId="77777777" w:rsidR="006E444E" w:rsidRPr="008C3D7C" w:rsidRDefault="006E444E" w:rsidP="00731A82">
            <w:pPr>
              <w:pStyle w:val="ListParagraph"/>
              <w:rPr>
                <w:rFonts w:ascii="Grundfos TheSans SemiLight" w:hAnsi="Grundfos TheSans SemiLight"/>
                <w:sz w:val="20"/>
                <w:szCs w:val="20"/>
              </w:rPr>
            </w:pPr>
          </w:p>
        </w:tc>
      </w:tr>
    </w:tbl>
    <w:p w14:paraId="12E9581B" w14:textId="77777777" w:rsidR="006E444E" w:rsidRPr="00664482" w:rsidRDefault="006E444E" w:rsidP="006E444E">
      <w:pPr>
        <w:rPr>
          <w:rFonts w:ascii="Grundfos TheSans SemiLight" w:hAnsi="Grundfos TheSans SemiLight"/>
          <w:sz w:val="4"/>
          <w:szCs w:val="4"/>
          <w:lang w:val="en-GB"/>
        </w:rPr>
      </w:pPr>
    </w:p>
    <w:p w14:paraId="1CE5CF57" w14:textId="77777777" w:rsidR="006E444E" w:rsidRPr="008C3D7C" w:rsidRDefault="006E444E" w:rsidP="006E444E">
      <w:pPr>
        <w:rPr>
          <w:rFonts w:ascii="Grundfos TheSans SemiLight" w:hAnsi="Grundfos TheSans SemiLight"/>
          <w:sz w:val="20"/>
          <w:szCs w:val="20"/>
          <w:lang w:val="en-GB"/>
        </w:rPr>
      </w:pPr>
      <w:r>
        <w:rPr>
          <w:rFonts w:ascii="Grundfos TheSans SemiLight" w:hAnsi="Grundfos TheSans SemiLight"/>
          <w:b/>
          <w:bCs/>
          <w:color w:val="11497B" w:themeColor="accent1"/>
          <w:sz w:val="20"/>
          <w:szCs w:val="20"/>
          <w:lang w:val="en-GB"/>
        </w:rPr>
        <w:t xml:space="preserve">US and </w:t>
      </w:r>
      <w:r w:rsidRPr="00366492">
        <w:rPr>
          <w:rFonts w:ascii="Grundfos TheSans SemiLight" w:hAnsi="Grundfos TheSans SemiLight"/>
          <w:b/>
          <w:bCs/>
          <w:color w:val="11497B" w:themeColor="accent1"/>
          <w:sz w:val="20"/>
          <w:szCs w:val="20"/>
          <w:lang w:val="en-GB"/>
        </w:rPr>
        <w:t>data centre solutions</w:t>
      </w:r>
      <w:r>
        <w:rPr>
          <w:rFonts w:ascii="Grundfos TheSans SemiLight" w:hAnsi="Grundfos TheSans SemiLight"/>
          <w:b/>
          <w:bCs/>
          <w:color w:val="11497B" w:themeColor="accent1"/>
          <w:sz w:val="20"/>
          <w:szCs w:val="20"/>
          <w:lang w:val="en-GB"/>
        </w:rPr>
        <w:t xml:space="preserve"> are key growth drivers</w:t>
      </w:r>
      <w:r>
        <w:rPr>
          <w:rFonts w:ascii="Grundfos TheSans SemiLight" w:hAnsi="Grundfos TheSans SemiLight"/>
          <w:sz w:val="20"/>
          <w:szCs w:val="20"/>
          <w:lang w:val="en-GB"/>
        </w:rPr>
        <w:br/>
        <w:t xml:space="preserve">In line with strategic priorities, </w:t>
      </w:r>
      <w:r w:rsidRPr="00680F8C">
        <w:rPr>
          <w:rFonts w:ascii="Grundfos TheSans SemiLight" w:hAnsi="Grundfos TheSans SemiLight"/>
          <w:sz w:val="20"/>
          <w:szCs w:val="20"/>
          <w:lang w:val="en-GB"/>
        </w:rPr>
        <w:t xml:space="preserve">Grundfos </w:t>
      </w:r>
      <w:r w:rsidRPr="00EF0718">
        <w:rPr>
          <w:rFonts w:ascii="Grundfos TheSans SemiLight" w:hAnsi="Grundfos TheSans SemiLight"/>
          <w:sz w:val="20"/>
          <w:szCs w:val="20"/>
          <w:lang w:val="en-GB"/>
        </w:rPr>
        <w:t>maintained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strong growth in the US</w:t>
      </w:r>
      <w:r w:rsidRPr="00EF0718">
        <w:rPr>
          <w:rFonts w:ascii="Grundfos TheSans SemiLight" w:hAnsi="Grundfos TheSans SemiLight"/>
          <w:sz w:val="20"/>
          <w:szCs w:val="20"/>
          <w:lang w:val="en-GB"/>
        </w:rPr>
        <w:t>,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with </w:t>
      </w:r>
      <w:r w:rsidRPr="00EF0718">
        <w:rPr>
          <w:rFonts w:ascii="Grundfos TheSans SemiLight" w:hAnsi="Grundfos TheSans SemiLight"/>
          <w:sz w:val="20"/>
          <w:szCs w:val="20"/>
          <w:lang w:val="en-GB"/>
        </w:rPr>
        <w:t xml:space="preserve">sales increasing by 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more than 20% in </w:t>
      </w:r>
      <w:r w:rsidRPr="00EF0718">
        <w:rPr>
          <w:rFonts w:ascii="Grundfos TheSans SemiLight" w:hAnsi="Grundfos TheSans SemiLight"/>
          <w:sz w:val="20"/>
          <w:szCs w:val="20"/>
          <w:lang w:val="en-GB"/>
        </w:rPr>
        <w:t xml:space="preserve">the 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first half </w:t>
      </w:r>
      <w:r w:rsidRPr="00EF0718">
        <w:rPr>
          <w:rFonts w:ascii="Grundfos TheSans SemiLight" w:hAnsi="Grundfos TheSans SemiLight"/>
          <w:sz w:val="20"/>
          <w:szCs w:val="20"/>
          <w:lang w:val="en-GB"/>
        </w:rPr>
        <w:t xml:space="preserve">of </w:t>
      </w:r>
      <w:r>
        <w:rPr>
          <w:rFonts w:ascii="Grundfos TheSans SemiLight" w:hAnsi="Grundfos TheSans SemiLight"/>
          <w:sz w:val="20"/>
          <w:szCs w:val="20"/>
          <w:lang w:val="en-GB"/>
        </w:rPr>
        <w:t>2026. Today, the US is the single biggest market for Grundfos.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 xml:space="preserve"> </w:t>
      </w:r>
    </w:p>
    <w:p w14:paraId="374FF3AE" w14:textId="77777777" w:rsidR="006E444E" w:rsidRPr="00366492" w:rsidRDefault="006E444E" w:rsidP="006E444E">
      <w:r>
        <w:rPr>
          <w:rFonts w:ascii="Grundfos TheSans SemiLight" w:hAnsi="Grundfos TheSans SemiLight"/>
          <w:sz w:val="20"/>
          <w:szCs w:val="20"/>
          <w:lang w:val="en-GB"/>
        </w:rPr>
        <w:t xml:space="preserve">Growth in the US is </w:t>
      </w:r>
      <w:r w:rsidRPr="00EE72AB">
        <w:rPr>
          <w:rFonts w:ascii="Grundfos TheSans SemiLight" w:hAnsi="Grundfos TheSans SemiLight"/>
          <w:sz w:val="20"/>
          <w:szCs w:val="20"/>
          <w:lang w:val="en-GB"/>
        </w:rPr>
        <w:t>led by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excep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>tional</w:t>
      </w:r>
      <w:r>
        <w:rPr>
          <w:rFonts w:ascii="Grundfos TheSans SemiLight" w:hAnsi="Grundfos TheSans SemiLight"/>
          <w:sz w:val="20"/>
          <w:szCs w:val="20"/>
          <w:lang w:val="en-GB"/>
        </w:rPr>
        <w:t>ly strong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 xml:space="preserve"> demand for data centre solutions </w:t>
      </w:r>
      <w:r>
        <w:rPr>
          <w:rFonts w:ascii="Grundfos TheSans SemiLight" w:hAnsi="Grundfos TheSans SemiLight"/>
          <w:sz w:val="20"/>
          <w:szCs w:val="20"/>
          <w:lang w:val="en-GB"/>
        </w:rPr>
        <w:t>but also</w:t>
      </w:r>
      <w:r w:rsidRPr="00EE72AB">
        <w:rPr>
          <w:rFonts w:ascii="Grundfos TheSans SemiLight" w:hAnsi="Grundfos TheSans SemiLight"/>
          <w:sz w:val="20"/>
          <w:szCs w:val="20"/>
          <w:lang w:val="en-GB"/>
        </w:rPr>
        <w:t xml:space="preserve"> by</w:t>
      </w:r>
      <w:r w:rsidDel="00C774C5">
        <w:rPr>
          <w:rFonts w:ascii="Grundfos TheSans SemiLight" w:hAnsi="Grundfos TheSans SemiLight"/>
          <w:sz w:val="20"/>
          <w:szCs w:val="20"/>
          <w:lang w:val="en-GB"/>
        </w:rPr>
        <w:t xml:space="preserve"> 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Grundfos’ broad portfolio of solutions serving many applications including 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 xml:space="preserve">water treatment and groundwater </w:t>
      </w:r>
      <w:r>
        <w:rPr>
          <w:rFonts w:ascii="Grundfos TheSans SemiLight" w:hAnsi="Grundfos TheSans SemiLight"/>
          <w:sz w:val="20"/>
          <w:szCs w:val="20"/>
          <w:lang w:val="en-GB"/>
        </w:rPr>
        <w:t>intake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>.</w:t>
      </w:r>
    </w:p>
    <w:p w14:paraId="11442119" w14:textId="77777777" w:rsidR="006E444E" w:rsidRPr="008C3D7C" w:rsidRDefault="006E444E" w:rsidP="006E444E">
      <w:pPr>
        <w:rPr>
          <w:rFonts w:ascii="Grundfos TheSans SemiLight" w:hAnsi="Grundfos TheSans SemiLight"/>
          <w:sz w:val="20"/>
          <w:szCs w:val="20"/>
          <w:lang w:val="en-GB"/>
        </w:rPr>
      </w:pPr>
      <w:r>
        <w:rPr>
          <w:rFonts w:ascii="Grundfos TheSans SemiLight" w:hAnsi="Grundfos TheSans SemiLight"/>
          <w:b/>
          <w:bCs/>
          <w:color w:val="EEF4F9" w:themeColor="text2" w:themeTint="BF"/>
          <w:sz w:val="20"/>
          <w:szCs w:val="20"/>
          <w:lang w:val="en-GB"/>
        </w:rPr>
        <w:t>Reg</w:t>
      </w:r>
      <w:r w:rsidRPr="19CEB4A3">
        <w:rPr>
          <w:rFonts w:ascii="Grundfos TheSans SemiLight" w:hAnsi="Grundfos TheSans SemiLight"/>
          <w:b/>
          <w:bCs/>
          <w:color w:val="EEF4F9" w:themeColor="text2" w:themeTint="BF"/>
          <w:sz w:val="20"/>
          <w:szCs w:val="20"/>
          <w:lang w:val="en-GB"/>
        </w:rPr>
        <w:t>aining momentum in Europe</w:t>
      </w:r>
      <w:r>
        <w:br/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Grundfos is also regaining momentum in 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 xml:space="preserve">Europe, </w:t>
      </w:r>
      <w:r w:rsidRPr="008B019D">
        <w:rPr>
          <w:rFonts w:ascii="Grundfos TheSans SemiLight" w:hAnsi="Grundfos TheSans SemiLight"/>
          <w:sz w:val="20"/>
          <w:szCs w:val="20"/>
          <w:lang w:val="en-GB"/>
        </w:rPr>
        <w:t xml:space="preserve">with </w:t>
      </w:r>
      <w:r>
        <w:rPr>
          <w:rFonts w:ascii="Grundfos TheSans SemiLight" w:hAnsi="Grundfos TheSans SemiLight"/>
          <w:sz w:val="20"/>
          <w:szCs w:val="20"/>
          <w:lang w:val="en-GB"/>
        </w:rPr>
        <w:t>Southern and Central European countries</w:t>
      </w:r>
      <w:proofErr w:type="gramStart"/>
      <w:r w:rsidRPr="008B019D">
        <w:rPr>
          <w:rFonts w:ascii="Grundfos TheSans SemiLight" w:hAnsi="Grundfos TheSans SemiLight"/>
          <w:sz w:val="20"/>
          <w:szCs w:val="20"/>
          <w:lang w:val="en-GB"/>
        </w:rPr>
        <w:t xml:space="preserve">, in particular, </w:t>
      </w:r>
      <w:r>
        <w:rPr>
          <w:rFonts w:ascii="Grundfos TheSans SemiLight" w:hAnsi="Grundfos TheSans SemiLight"/>
          <w:sz w:val="20"/>
          <w:szCs w:val="20"/>
          <w:lang w:val="en-GB"/>
        </w:rPr>
        <w:t>on</w:t>
      </w:r>
      <w:proofErr w:type="gramEnd"/>
      <w:r>
        <w:rPr>
          <w:rFonts w:ascii="Grundfos TheSans SemiLight" w:hAnsi="Grundfos TheSans SemiLight"/>
          <w:sz w:val="20"/>
          <w:szCs w:val="20"/>
          <w:lang w:val="en-GB"/>
        </w:rPr>
        <w:t xml:space="preserve"> a solid growth </w:t>
      </w:r>
      <w:r w:rsidRPr="008B019D">
        <w:rPr>
          <w:rFonts w:ascii="Grundfos TheSans SemiLight" w:hAnsi="Grundfos TheSans SemiLight"/>
          <w:sz w:val="20"/>
          <w:szCs w:val="20"/>
          <w:lang w:val="en-GB"/>
        </w:rPr>
        <w:t>trajectory</w:t>
      </w:r>
      <w:r>
        <w:rPr>
          <w:rFonts w:ascii="Grundfos TheSans SemiLight" w:hAnsi="Grundfos TheSans SemiLight"/>
          <w:sz w:val="20"/>
          <w:szCs w:val="20"/>
          <w:lang w:val="en-GB"/>
        </w:rPr>
        <w:t>.</w:t>
      </w:r>
    </w:p>
    <w:p w14:paraId="7DB6691C" w14:textId="77777777" w:rsidR="006E444E" w:rsidRDefault="006E444E" w:rsidP="006E444E">
      <w:pPr>
        <w:rPr>
          <w:rFonts w:ascii="Grundfos TheSans SemiLight" w:hAnsi="Grundfos TheSans SemiLight"/>
          <w:sz w:val="20"/>
          <w:szCs w:val="20"/>
          <w:lang w:val="en-GB"/>
        </w:rPr>
      </w:pPr>
      <w:r w:rsidRPr="008C3D7C">
        <w:rPr>
          <w:rFonts w:ascii="Grundfos TheSans SemiLight" w:hAnsi="Grundfos TheSans SemiLight"/>
          <w:sz w:val="20"/>
          <w:szCs w:val="20"/>
          <w:lang w:val="en-GB"/>
        </w:rPr>
        <w:t xml:space="preserve">Commenting on the </w:t>
      </w:r>
      <w:r>
        <w:rPr>
          <w:rFonts w:ascii="Grundfos TheSans SemiLight" w:hAnsi="Grundfos TheSans SemiLight"/>
          <w:sz w:val="20"/>
          <w:szCs w:val="20"/>
          <w:lang w:val="en-GB"/>
        </w:rPr>
        <w:t>first-half performance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>, Grundfos CEO Poul Due Jensen said: “</w:t>
      </w:r>
      <w:r>
        <w:rPr>
          <w:rFonts w:ascii="Grundfos TheSans SemiLight" w:hAnsi="Grundfos TheSans SemiLight"/>
          <w:sz w:val="20"/>
          <w:szCs w:val="20"/>
          <w:lang w:val="en-GB"/>
        </w:rPr>
        <w:t>This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 xml:space="preserve"> is a very strong result, and I am incredibly proud of my colleagues and our performance. 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Our success is based on strong execution and our ability to deliver on our customers’ demand for 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>energy</w:t>
      </w:r>
      <w:r>
        <w:rPr>
          <w:rFonts w:ascii="Grundfos TheSans SemiLight" w:hAnsi="Grundfos TheSans SemiLight"/>
          <w:sz w:val="20"/>
          <w:szCs w:val="20"/>
          <w:lang w:val="en-GB"/>
        </w:rPr>
        <w:t>-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 xml:space="preserve"> and water</w:t>
      </w:r>
      <w:r>
        <w:rPr>
          <w:rFonts w:ascii="Grundfos TheSans SemiLight" w:hAnsi="Grundfos TheSans SemiLight"/>
          <w:sz w:val="20"/>
          <w:szCs w:val="20"/>
          <w:lang w:val="en-GB"/>
        </w:rPr>
        <w:t>-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>efficient solutions</w:t>
      </w:r>
      <w:r>
        <w:rPr>
          <w:rFonts w:ascii="Grundfos TheSans SemiLight" w:hAnsi="Grundfos TheSans SemiLight"/>
          <w:sz w:val="20"/>
          <w:szCs w:val="20"/>
          <w:lang w:val="en-GB"/>
        </w:rPr>
        <w:t>.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 xml:space="preserve"> 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We have become a preferred supplier in the 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 xml:space="preserve">data centre 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industry; however, our growth is founded by </w:t>
      </w:r>
      <w:r w:rsidRPr="008C3D7C">
        <w:rPr>
          <w:rFonts w:ascii="Grundfos TheSans SemiLight" w:hAnsi="Grundfos TheSans SemiLight"/>
          <w:sz w:val="20"/>
          <w:szCs w:val="20"/>
          <w:lang w:val="en-GB"/>
        </w:rPr>
        <w:t>the versatility of our portfolio</w:t>
      </w:r>
      <w:r>
        <w:rPr>
          <w:rFonts w:ascii="Grundfos TheSans SemiLight" w:hAnsi="Grundfos TheSans SemiLight"/>
          <w:sz w:val="20"/>
          <w:szCs w:val="20"/>
          <w:lang w:val="en-GB"/>
        </w:rPr>
        <w:t>, which makes us the preferred supplier across many markets and industries.”</w:t>
      </w:r>
    </w:p>
    <w:p w14:paraId="59EB5DBE" w14:textId="77777777" w:rsidR="006E444E" w:rsidRPr="00DD2E4D" w:rsidRDefault="006E444E" w:rsidP="006E444E">
      <w:pPr>
        <w:rPr>
          <w:rFonts w:ascii="Grundfos TheSans SemiLight" w:hAnsi="Grundfos TheSans SemiLight"/>
          <w:b/>
          <w:bCs/>
          <w:color w:val="EEF4F9" w:themeColor="text2" w:themeTint="BF"/>
          <w:sz w:val="20"/>
          <w:szCs w:val="20"/>
          <w:lang w:val="en-GB"/>
        </w:rPr>
      </w:pPr>
      <w:r>
        <w:rPr>
          <w:rFonts w:ascii="Grundfos TheSans SemiLight" w:hAnsi="Grundfos TheSans SemiLight"/>
          <w:b/>
          <w:bCs/>
          <w:color w:val="EEF4F9" w:themeColor="text2" w:themeTint="BF"/>
          <w:sz w:val="20"/>
          <w:szCs w:val="20"/>
          <w:lang w:val="en-GB"/>
        </w:rPr>
        <w:t xml:space="preserve">Significant </w:t>
      </w:r>
      <w:r w:rsidRPr="19CEB4A3">
        <w:rPr>
          <w:rFonts w:ascii="Grundfos TheSans SemiLight" w:hAnsi="Grundfos TheSans SemiLight"/>
          <w:b/>
          <w:bCs/>
          <w:color w:val="EEF4F9" w:themeColor="text2" w:themeTint="BF"/>
          <w:sz w:val="20"/>
          <w:szCs w:val="20"/>
          <w:lang w:val="en-GB"/>
        </w:rPr>
        <w:t>investment</w:t>
      </w:r>
      <w:r>
        <w:rPr>
          <w:rFonts w:ascii="Grundfos TheSans SemiLight" w:hAnsi="Grundfos TheSans SemiLight"/>
          <w:b/>
          <w:bCs/>
          <w:color w:val="EEF4F9" w:themeColor="text2" w:themeTint="BF"/>
          <w:sz w:val="20"/>
          <w:szCs w:val="20"/>
          <w:lang w:val="en-GB"/>
        </w:rPr>
        <w:t xml:space="preserve"> to meet demand for Grundfos’ high-efficiency solutions </w:t>
      </w:r>
      <w:r>
        <w:rPr>
          <w:rFonts w:ascii="Grundfos TheSans SemiLight" w:hAnsi="Grundfos TheSans SemiLight"/>
          <w:b/>
          <w:bCs/>
          <w:color w:val="EEF4F9" w:themeColor="text2" w:themeTint="BF"/>
          <w:sz w:val="20"/>
          <w:szCs w:val="20"/>
          <w:lang w:val="en-GB"/>
        </w:rPr>
        <w:br/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Demand for Grundfos’ energy-efficient solutions is on a sharp increase. To support the growth, and to increase resiliency of its supply chains Grundfos is making a 400 million DKK investment in a 50% capacity expansion of the production of high-efficiency motors 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>at its plants in Mexico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and Hungary</w:t>
      </w:r>
      <w:r w:rsidRPr="19CEB4A3">
        <w:rPr>
          <w:rFonts w:ascii="Grundfos TheSans SemiLight" w:hAnsi="Grundfos TheSans SemiLight"/>
          <w:sz w:val="20"/>
          <w:szCs w:val="20"/>
          <w:lang w:val="en-GB"/>
        </w:rPr>
        <w:t>.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</w:t>
      </w:r>
      <w:r w:rsidRPr="006205AF">
        <w:rPr>
          <w:rFonts w:ascii="Grundfos TheSans SemiLight" w:hAnsi="Grundfos TheSans SemiLight"/>
          <w:sz w:val="20"/>
          <w:szCs w:val="20"/>
        </w:rPr>
        <w:t xml:space="preserve">This follows Grundfos’ recent announcement of </w:t>
      </w:r>
      <w:r>
        <w:rPr>
          <w:rFonts w:ascii="Grundfos TheSans SemiLight" w:hAnsi="Grundfos TheSans SemiLight"/>
          <w:sz w:val="20"/>
          <w:szCs w:val="20"/>
        </w:rPr>
        <w:t xml:space="preserve">the </w:t>
      </w:r>
      <w:r w:rsidRPr="006205AF">
        <w:rPr>
          <w:rFonts w:ascii="Grundfos TheSans SemiLight" w:hAnsi="Grundfos TheSans SemiLight"/>
          <w:sz w:val="20"/>
          <w:szCs w:val="20"/>
        </w:rPr>
        <w:t>expansion of its Texas plant</w:t>
      </w:r>
      <w:r>
        <w:rPr>
          <w:rFonts w:ascii="Grundfos TheSans SemiLight" w:hAnsi="Grundfos TheSans SemiLight"/>
          <w:sz w:val="20"/>
          <w:szCs w:val="20"/>
        </w:rPr>
        <w:t>.</w:t>
      </w:r>
    </w:p>
    <w:p w14:paraId="3578248E" w14:textId="77777777" w:rsidR="006E444E" w:rsidRDefault="006E444E" w:rsidP="006E444E">
      <w:pPr>
        <w:rPr>
          <w:rFonts w:ascii="Grundfos TheSans SemiLight" w:hAnsi="Grundfos TheSans SemiLight"/>
          <w:sz w:val="20"/>
          <w:szCs w:val="20"/>
          <w:lang w:val="en-GB"/>
        </w:rPr>
      </w:pPr>
      <w:r w:rsidRPr="00F57C93">
        <w:rPr>
          <w:rFonts w:ascii="Grundfos TheSans SemiLight" w:hAnsi="Grundfos TheSans SemiLight"/>
          <w:sz w:val="20"/>
          <w:szCs w:val="20"/>
          <w:lang w:val="en-GB"/>
        </w:rPr>
        <w:t>“</w:t>
      </w:r>
      <w:r>
        <w:rPr>
          <w:rFonts w:ascii="Grundfos TheSans SemiLight" w:hAnsi="Grundfos TheSans SemiLight"/>
          <w:sz w:val="20"/>
          <w:szCs w:val="20"/>
          <w:lang w:val="en-GB"/>
        </w:rPr>
        <w:t>Our customers trust us to help them reduce energy and water consumption through our high-efficiency solutions. We</w:t>
      </w:r>
      <w:r w:rsidRPr="00F57C93">
        <w:rPr>
          <w:rFonts w:ascii="Grundfos TheSans SemiLight" w:hAnsi="Grundfos TheSans SemiLight"/>
          <w:sz w:val="20"/>
          <w:szCs w:val="20"/>
          <w:lang w:val="en-GB"/>
        </w:rPr>
        <w:t xml:space="preserve"> have 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therefore </w:t>
      </w:r>
      <w:r w:rsidRPr="00F57C93">
        <w:rPr>
          <w:rFonts w:ascii="Grundfos TheSans SemiLight" w:hAnsi="Grundfos TheSans SemiLight"/>
          <w:sz w:val="20"/>
          <w:szCs w:val="20"/>
          <w:lang w:val="en-GB"/>
        </w:rPr>
        <w:t>accelerated investment plans to increase capacity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</w:t>
      </w:r>
      <w:proofErr w:type="gramStart"/>
      <w:r>
        <w:rPr>
          <w:rFonts w:ascii="Grundfos TheSans SemiLight" w:hAnsi="Grundfos TheSans SemiLight"/>
          <w:sz w:val="20"/>
          <w:szCs w:val="20"/>
          <w:lang w:val="en-GB"/>
        </w:rPr>
        <w:t>for the production of</w:t>
      </w:r>
      <w:proofErr w:type="gramEnd"/>
      <w:r>
        <w:rPr>
          <w:rFonts w:ascii="Grundfos TheSans SemiLight" w:hAnsi="Grundfos TheSans SemiLight"/>
          <w:sz w:val="20"/>
          <w:szCs w:val="20"/>
          <w:lang w:val="en-GB"/>
        </w:rPr>
        <w:t xml:space="preserve"> our high-efficiency motors. </w:t>
      </w:r>
      <w:r w:rsidRPr="00C12C1A">
        <w:rPr>
          <w:rFonts w:ascii="Grundfos TheSans SemiLight" w:hAnsi="Grundfos TheSans SemiLight"/>
          <w:sz w:val="20"/>
          <w:szCs w:val="20"/>
          <w:lang w:val="en-GB"/>
        </w:rPr>
        <w:t>By investing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across Europe and North America</w:t>
      </w:r>
      <w:r w:rsidRPr="00C12C1A">
        <w:rPr>
          <w:rFonts w:ascii="Grundfos TheSans SemiLight" w:hAnsi="Grundfos TheSans SemiLight"/>
          <w:sz w:val="20"/>
          <w:szCs w:val="20"/>
          <w:lang w:val="en-GB"/>
        </w:rPr>
        <w:t>,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we will be able to </w:t>
      </w:r>
      <w:r w:rsidRPr="00C12C1A">
        <w:rPr>
          <w:rFonts w:ascii="Grundfos TheSans SemiLight" w:hAnsi="Grundfos TheSans SemiLight"/>
          <w:sz w:val="20"/>
          <w:szCs w:val="20"/>
          <w:lang w:val="en-GB"/>
        </w:rPr>
        <w:t>meet growing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demand</w:t>
      </w:r>
      <w:r w:rsidRPr="00C12C1A">
        <w:rPr>
          <w:rFonts w:ascii="Grundfos TheSans SemiLight" w:hAnsi="Grundfos TheSans SemiLight"/>
          <w:sz w:val="20"/>
          <w:szCs w:val="20"/>
          <w:lang w:val="en-GB"/>
        </w:rPr>
        <w:t xml:space="preserve"> while strengthening the resilience</w:t>
      </w:r>
      <w:r>
        <w:rPr>
          <w:rFonts w:ascii="Grundfos TheSans SemiLight" w:hAnsi="Grundfos TheSans SemiLight"/>
          <w:sz w:val="20"/>
          <w:szCs w:val="20"/>
          <w:lang w:val="en-GB"/>
        </w:rPr>
        <w:t xml:space="preserve"> of our supply chains,” </w:t>
      </w:r>
      <w:r w:rsidRPr="00F57C93">
        <w:rPr>
          <w:rFonts w:ascii="Grundfos TheSans SemiLight" w:hAnsi="Grundfos TheSans SemiLight"/>
          <w:sz w:val="20"/>
          <w:szCs w:val="20"/>
          <w:lang w:val="en-GB"/>
        </w:rPr>
        <w:t>said Due Jensen.</w:t>
      </w:r>
    </w:p>
    <w:p w14:paraId="5D1F2FF4" w14:textId="77777777" w:rsidR="006E444E" w:rsidRDefault="006E444E" w:rsidP="006E444E">
      <w:pPr>
        <w:rPr>
          <w:rFonts w:ascii="Grundfos TheSans SemiLight" w:hAnsi="Grundfos TheSans SemiLight"/>
          <w:sz w:val="20"/>
          <w:szCs w:val="20"/>
          <w:lang w:val="en-GB"/>
        </w:rPr>
      </w:pPr>
    </w:p>
    <w:p w14:paraId="107F91B7" w14:textId="77777777" w:rsidR="006E444E" w:rsidRPr="006E444E" w:rsidRDefault="006E444E" w:rsidP="006E444E">
      <w:pPr>
        <w:pStyle w:val="Heading2"/>
        <w:rPr>
          <w:rFonts w:ascii="Grundfos TheSans SemiLight" w:hAnsi="Grundfos TheSans SemiLight" w:cstheme="minorBidi"/>
          <w:b w:val="0"/>
          <w:bCs w:val="0"/>
          <w:sz w:val="20"/>
          <w:szCs w:val="20"/>
          <w:lang w:val="en-GB"/>
        </w:rPr>
      </w:pPr>
      <w:r w:rsidRPr="384F903C">
        <w:rPr>
          <w:rFonts w:ascii="Grundfos TheSans SemiLight" w:hAnsi="Grundfos TheSans SemiLight" w:cstheme="minorBidi"/>
          <w:sz w:val="20"/>
          <w:szCs w:val="20"/>
          <w:u w:val="single"/>
          <w:lang w:val="en-GB"/>
        </w:rPr>
        <w:t>About Grundfos</w:t>
      </w:r>
      <w:r>
        <w:br/>
      </w:r>
      <w:proofErr w:type="spellStart"/>
      <w:r w:rsidRPr="006E444E">
        <w:rPr>
          <w:rFonts w:ascii="Grundfos TheSans SemiLight" w:hAnsi="Grundfos TheSans SemiLight"/>
          <w:b w:val="0"/>
          <w:bCs w:val="0"/>
          <w:color w:val="auto"/>
          <w:sz w:val="20"/>
          <w:szCs w:val="20"/>
          <w:lang w:val="en-GB"/>
        </w:rPr>
        <w:t>Grundfos</w:t>
      </w:r>
      <w:proofErr w:type="spellEnd"/>
      <w:r w:rsidRPr="006E444E">
        <w:rPr>
          <w:rFonts w:ascii="Grundfos TheSans SemiLight" w:hAnsi="Grundfos TheSans SemiLight"/>
          <w:b w:val="0"/>
          <w:bCs w:val="0"/>
          <w:color w:val="auto"/>
          <w:sz w:val="20"/>
          <w:szCs w:val="20"/>
          <w:lang w:val="en-GB"/>
        </w:rPr>
        <w:t xml:space="preserve"> </w:t>
      </w:r>
      <w:proofErr w:type="gramStart"/>
      <w:r w:rsidRPr="006E444E">
        <w:rPr>
          <w:rFonts w:ascii="Grundfos TheSans SemiLight" w:hAnsi="Grundfos TheSans SemiLight"/>
          <w:b w:val="0"/>
          <w:bCs w:val="0"/>
          <w:color w:val="auto"/>
          <w:sz w:val="20"/>
          <w:szCs w:val="20"/>
          <w:lang w:val="en-GB"/>
        </w:rPr>
        <w:t>pioneers</w:t>
      </w:r>
      <w:proofErr w:type="gramEnd"/>
      <w:r w:rsidRPr="006E444E">
        <w:rPr>
          <w:rFonts w:ascii="Grundfos TheSans SemiLight" w:hAnsi="Grundfos TheSans SemiLight"/>
          <w:b w:val="0"/>
          <w:bCs w:val="0"/>
          <w:color w:val="auto"/>
          <w:sz w:val="20"/>
          <w:szCs w:val="20"/>
          <w:lang w:val="en-GB"/>
        </w:rPr>
        <w:t xml:space="preserve"> solutions to the world’s water and climate challenges and improves the quality of life for </w:t>
      </w:r>
      <w:r w:rsidRPr="006E444E">
        <w:rPr>
          <w:rFonts w:ascii="Grundfos TheSans SemiLight" w:hAnsi="Grundfos TheSans SemiLight"/>
          <w:b w:val="0"/>
          <w:bCs w:val="0"/>
          <w:color w:val="auto"/>
          <w:sz w:val="20"/>
          <w:szCs w:val="20"/>
          <w:lang w:val="en-GB"/>
        </w:rPr>
        <w:lastRenderedPageBreak/>
        <w:t>people. As a leading global pump and water solutions company, we promise to respect, protect and advance the flow of water by providing energy- and water-efficient solutions and systems for a wide range of applications for water utilities, industries and buildings.</w:t>
      </w:r>
    </w:p>
    <w:p w14:paraId="78300220" w14:textId="48B7A6F9" w:rsidR="00AE1299" w:rsidRDefault="00FC3CE9" w:rsidP="00486858">
      <w:pPr>
        <w:jc w:val="both"/>
      </w:pPr>
      <w:r w:rsidRPr="004C22AD">
        <w:rPr>
          <w:i/>
          <w:iCs/>
        </w:rPr>
        <w:t>.</w:t>
      </w:r>
      <w:r w:rsidR="00D61746">
        <w:t xml:space="preserve"> </w:t>
      </w:r>
      <w:permEnd w:id="1364140959"/>
    </w:p>
    <w:p w14:paraId="7C546F5E" w14:textId="77777777" w:rsidR="00AE1299" w:rsidRDefault="00AE1299" w:rsidP="00486858">
      <w:pPr>
        <w:jc w:val="both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232"/>
        <w:gridCol w:w="3402"/>
      </w:tblGrid>
      <w:tr w:rsidR="00AE1299" w14:paraId="6152CECC" w14:textId="77777777" w:rsidTr="00486858">
        <w:trPr>
          <w:trHeight w:val="636"/>
        </w:trPr>
        <w:tc>
          <w:tcPr>
            <w:tcW w:w="9634" w:type="dxa"/>
            <w:gridSpan w:val="2"/>
            <w:shd w:val="clear" w:color="auto" w:fill="11497B" w:themeFill="accent1"/>
            <w:vAlign w:val="center"/>
          </w:tcPr>
          <w:p w14:paraId="64CE81B4" w14:textId="4B7E401C" w:rsidR="00AE1299" w:rsidRPr="00AE1299" w:rsidRDefault="00AE1299" w:rsidP="00486858">
            <w:pPr>
              <w:spacing w:after="0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QUICK LINKS – Get the latest news and information from Grundfos.</w:t>
            </w:r>
          </w:p>
        </w:tc>
      </w:tr>
      <w:tr w:rsidR="00AE1299" w14:paraId="1CB9977C" w14:textId="77777777" w:rsidTr="00486858">
        <w:trPr>
          <w:trHeight w:val="636"/>
        </w:trPr>
        <w:tc>
          <w:tcPr>
            <w:tcW w:w="6232" w:type="dxa"/>
            <w:vAlign w:val="center"/>
          </w:tcPr>
          <w:p w14:paraId="40D46457" w14:textId="27E5EBB4" w:rsidR="00AE1299" w:rsidRDefault="00AE1299" w:rsidP="00486858">
            <w:pPr>
              <w:spacing w:after="0"/>
              <w:jc w:val="both"/>
            </w:pPr>
            <w:r>
              <w:t>Read more of the latest updates from Grundfos.</w:t>
            </w:r>
          </w:p>
        </w:tc>
        <w:tc>
          <w:tcPr>
            <w:tcW w:w="3402" w:type="dxa"/>
            <w:vAlign w:val="center"/>
          </w:tcPr>
          <w:p w14:paraId="2F1A3D97" w14:textId="77777777" w:rsidR="00AE1299" w:rsidRDefault="00AE1299" w:rsidP="00486858">
            <w:pPr>
              <w:spacing w:after="0"/>
              <w:jc w:val="both"/>
            </w:pPr>
            <w:hyperlink r:id="rId11" w:history="1">
              <w:r w:rsidRPr="003A6E3C">
                <w:rPr>
                  <w:rStyle w:val="Hyperlink"/>
                </w:rPr>
                <w:t>www.grundfos.com/news</w:t>
              </w:r>
            </w:hyperlink>
          </w:p>
        </w:tc>
      </w:tr>
      <w:tr w:rsidR="00AE1299" w14:paraId="17CF6D07" w14:textId="77777777" w:rsidTr="00486858">
        <w:trPr>
          <w:trHeight w:val="636"/>
        </w:trPr>
        <w:tc>
          <w:tcPr>
            <w:tcW w:w="6232" w:type="dxa"/>
            <w:vAlign w:val="center"/>
          </w:tcPr>
          <w:p w14:paraId="16F52A6B" w14:textId="20083ACA" w:rsidR="00AE1299" w:rsidRDefault="00AE1299" w:rsidP="00486858">
            <w:pPr>
              <w:spacing w:after="0"/>
              <w:jc w:val="both"/>
            </w:pPr>
            <w:r>
              <w:t>Access our press-kit, or download images of Grundfos people, locations and products</w:t>
            </w:r>
            <w:r w:rsidR="00703E04">
              <w:t>.</w:t>
            </w:r>
          </w:p>
        </w:tc>
        <w:tc>
          <w:tcPr>
            <w:tcW w:w="3402" w:type="dxa"/>
            <w:vAlign w:val="center"/>
          </w:tcPr>
          <w:p w14:paraId="56691174" w14:textId="77777777" w:rsidR="00AE1299" w:rsidRDefault="00AE1299" w:rsidP="00486858">
            <w:pPr>
              <w:spacing w:after="0"/>
              <w:jc w:val="both"/>
            </w:pPr>
            <w:hyperlink r:id="rId12" w:history="1">
              <w:r w:rsidRPr="003A6E3C">
                <w:rPr>
                  <w:rStyle w:val="Hyperlink"/>
                </w:rPr>
                <w:t>www.grundfos.com/press-kit</w:t>
              </w:r>
            </w:hyperlink>
          </w:p>
        </w:tc>
      </w:tr>
      <w:tr w:rsidR="00AE1299" w14:paraId="54384B73" w14:textId="77777777" w:rsidTr="00486858">
        <w:trPr>
          <w:trHeight w:val="636"/>
        </w:trPr>
        <w:tc>
          <w:tcPr>
            <w:tcW w:w="6232" w:type="dxa"/>
            <w:vAlign w:val="center"/>
          </w:tcPr>
          <w:p w14:paraId="0B966FE0" w14:textId="7CC9D6F2" w:rsidR="00AE1299" w:rsidRDefault="00AE1299" w:rsidP="00486858">
            <w:pPr>
              <w:spacing w:after="0"/>
              <w:jc w:val="both"/>
            </w:pPr>
            <w:r>
              <w:t>Get in touch! We’re happy to help with questions and enquiries from journalists and the media.</w:t>
            </w:r>
            <w:permStart w:id="1949984327" w:edGrp="everyone"/>
            <w:permEnd w:id="1949984327"/>
          </w:p>
        </w:tc>
        <w:tc>
          <w:tcPr>
            <w:tcW w:w="3402" w:type="dxa"/>
            <w:vAlign w:val="center"/>
          </w:tcPr>
          <w:p w14:paraId="254E9F0C" w14:textId="77777777" w:rsidR="00AE1299" w:rsidRDefault="00AE1299" w:rsidP="00486858">
            <w:pPr>
              <w:spacing w:after="0"/>
              <w:jc w:val="both"/>
            </w:pPr>
            <w:hyperlink r:id="rId13" w:history="1">
              <w:r w:rsidRPr="003A6E3C">
                <w:rPr>
                  <w:rStyle w:val="Hyperlink"/>
                </w:rPr>
                <w:t>www.grundfos.com/press-office</w:t>
              </w:r>
            </w:hyperlink>
          </w:p>
        </w:tc>
      </w:tr>
    </w:tbl>
    <w:p w14:paraId="00BD4AD0" w14:textId="77777777" w:rsidR="000C280B" w:rsidRPr="00FB4636" w:rsidRDefault="000C280B" w:rsidP="00486858">
      <w:pPr>
        <w:jc w:val="both"/>
      </w:pPr>
    </w:p>
    <w:sectPr w:rsidR="000C280B" w:rsidRPr="00FB4636" w:rsidSect="00D3169A">
      <w:headerReference w:type="default" r:id="rId14"/>
      <w:footerReference w:type="default" r:id="rId15"/>
      <w:pgSz w:w="11906" w:h="16838" w:code="9"/>
      <w:pgMar w:top="1814" w:right="1134" w:bottom="1531" w:left="1134" w:header="9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E3AC" w14:textId="77777777" w:rsidR="0077382B" w:rsidRDefault="0077382B" w:rsidP="00924CFE">
      <w:r>
        <w:separator/>
      </w:r>
    </w:p>
  </w:endnote>
  <w:endnote w:type="continuationSeparator" w:id="0">
    <w:p w14:paraId="48351714" w14:textId="77777777" w:rsidR="0077382B" w:rsidRDefault="0077382B" w:rsidP="0092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rundfos TheSans V2">
    <w:panose1 w:val="020B0503040303060204"/>
    <w:charset w:val="00"/>
    <w:family w:val="swiss"/>
    <w:pitch w:val="variable"/>
    <w:sig w:usb0="A00002FF" w:usb1="500064BB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igtree">
    <w:altName w:val="Calibri"/>
    <w:charset w:val="00"/>
    <w:family w:val="auto"/>
    <w:pitch w:val="default"/>
  </w:font>
  <w:font w:name=".SFUI-Regular">
    <w:altName w:val="Cambria"/>
    <w:charset w:val="00"/>
    <w:family w:val="roman"/>
    <w:pitch w:val="default"/>
  </w:font>
  <w:font w:name="Grundfos TheSans SemiLight">
    <w:panose1 w:val="020B0402050302020203"/>
    <w:charset w:val="00"/>
    <w:family w:val="swiss"/>
    <w:pitch w:val="variable"/>
    <w:sig w:usb0="A00002FF" w:usb1="500064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3126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136AD3" w14:textId="1D39289F" w:rsidR="00CA0551" w:rsidRDefault="00CA05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A5F587" w14:textId="77777777" w:rsidR="00924CFE" w:rsidRDefault="00924CFE" w:rsidP="00B96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3DDE" w14:textId="77777777" w:rsidR="0077382B" w:rsidRDefault="0077382B" w:rsidP="00924CFE">
      <w:r>
        <w:separator/>
      </w:r>
    </w:p>
  </w:footnote>
  <w:footnote w:type="continuationSeparator" w:id="0">
    <w:p w14:paraId="63B89040" w14:textId="77777777" w:rsidR="0077382B" w:rsidRDefault="0077382B" w:rsidP="00924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4" w:type="dxa"/>
        <w:right w:w="0" w:type="dxa"/>
      </w:tblCellMar>
      <w:tblLook w:val="04A0" w:firstRow="1" w:lastRow="0" w:firstColumn="1" w:lastColumn="0" w:noHBand="0" w:noVBand="1"/>
    </w:tblPr>
    <w:tblGrid>
      <w:gridCol w:w="5667"/>
      <w:gridCol w:w="3961"/>
    </w:tblGrid>
    <w:tr w:rsidR="002346BB" w:rsidRPr="00235504" w14:paraId="74A568E6" w14:textId="77777777" w:rsidTr="00693848">
      <w:tc>
        <w:tcPr>
          <w:tcW w:w="5667" w:type="dxa"/>
        </w:tcPr>
        <w:p w14:paraId="5EFD65F3" w14:textId="77777777" w:rsidR="00693848" w:rsidRDefault="00693848" w:rsidP="00693848">
          <w:pPr>
            <w:pStyle w:val="Footer"/>
          </w:pPr>
          <w:r>
            <w:t xml:space="preserve"> </w:t>
          </w:r>
        </w:p>
        <w:p w14:paraId="51C4E7A4" w14:textId="1B6506F9" w:rsidR="00AE1299" w:rsidRPr="00257B46" w:rsidRDefault="00AE1299" w:rsidP="00693848">
          <w:pPr>
            <w:pStyle w:val="Footer"/>
          </w:pPr>
          <w:r>
            <w:t>Grundfos News text download</w:t>
          </w:r>
        </w:p>
      </w:tc>
      <w:tc>
        <w:tcPr>
          <w:tcW w:w="3961" w:type="dxa"/>
        </w:tcPr>
        <w:p w14:paraId="09F7708C" w14:textId="77777777" w:rsidR="002346BB" w:rsidRPr="00257B46" w:rsidRDefault="002346BB" w:rsidP="00693848">
          <w:pPr>
            <w:pStyle w:val="Footer"/>
            <w:jc w:val="right"/>
          </w:pPr>
          <w:r w:rsidRPr="00257B46">
            <w:rPr>
              <w:noProof/>
            </w:rPr>
            <w:drawing>
              <wp:inline distT="0" distB="0" distL="0" distR="0" wp14:anchorId="59B789C6" wp14:editId="712D4DFD">
                <wp:extent cx="1807200" cy="248400"/>
                <wp:effectExtent l="0" t="0" r="3175" b="0"/>
                <wp:docPr id="4" name="Picture 4" descr="Logo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7200" cy="24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8B628AF" w14:textId="77777777" w:rsidR="000C56AA" w:rsidRPr="00932D52" w:rsidRDefault="000C56AA" w:rsidP="00D9738E">
    <w:pPr>
      <w:pStyle w:val="Header"/>
      <w:tabs>
        <w:tab w:val="clear" w:pos="4986"/>
        <w:tab w:val="clear" w:pos="9972"/>
        <w:tab w:val="left" w:pos="3726"/>
      </w:tabs>
      <w:rPr>
        <w:color w:val="11497B" w:themeColor="accent1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809F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CCF7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BE8E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FCE3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6B7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4DF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4EEA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D2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B4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DC1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C6B64"/>
    <w:multiLevelType w:val="hybridMultilevel"/>
    <w:tmpl w:val="4BFEB2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A6FA4"/>
    <w:multiLevelType w:val="hybridMultilevel"/>
    <w:tmpl w:val="7226BE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164F1"/>
    <w:multiLevelType w:val="multilevel"/>
    <w:tmpl w:val="824A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E6BC0"/>
    <w:multiLevelType w:val="multilevel"/>
    <w:tmpl w:val="F1A8737A"/>
    <w:numStyleLink w:val="GFstylebullet"/>
  </w:abstractNum>
  <w:abstractNum w:abstractNumId="14" w15:restartNumberingAfterBreak="0">
    <w:nsid w:val="38555D5A"/>
    <w:multiLevelType w:val="multilevel"/>
    <w:tmpl w:val="2DEE5A28"/>
    <w:lvl w:ilvl="0">
      <w:start w:val="1"/>
      <w:numFmt w:val="decimal"/>
      <w:lvlText w:val="%1."/>
      <w:lvlJc w:val="left"/>
      <w:pPr>
        <w:ind w:left="720" w:hanging="360"/>
      </w:pPr>
      <w:rPr>
        <w:color w:val="174D7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B507FA4"/>
    <w:multiLevelType w:val="hybridMultilevel"/>
    <w:tmpl w:val="938ABDEA"/>
    <w:lvl w:ilvl="0" w:tplc="309AE09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11497B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95780"/>
    <w:multiLevelType w:val="multilevel"/>
    <w:tmpl w:val="F1A8737A"/>
    <w:styleLink w:val="GFstylebullet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libri" w:hAnsi="Calibri" w:hint="default"/>
        <w:color w:val="11497B" w:themeColor="accent1"/>
      </w:rPr>
    </w:lvl>
    <w:lvl w:ilvl="1">
      <w:start w:val="1"/>
      <w:numFmt w:val="bullet"/>
      <w:lvlText w:val="•"/>
      <w:lvlJc w:val="left"/>
      <w:pPr>
        <w:ind w:left="714" w:hanging="354"/>
      </w:pPr>
      <w:rPr>
        <w:rFonts w:ascii="Calibri" w:hAnsi="Calibri" w:hint="default"/>
        <w:color w:val="11497B" w:themeColor="accent1"/>
      </w:rPr>
    </w:lvl>
    <w:lvl w:ilvl="2">
      <w:start w:val="1"/>
      <w:numFmt w:val="bullet"/>
      <w:lvlText w:val="•"/>
      <w:lvlJc w:val="left"/>
      <w:pPr>
        <w:ind w:left="1072" w:hanging="358"/>
      </w:pPr>
      <w:rPr>
        <w:rFonts w:ascii="Calibri" w:hAnsi="Calibri" w:hint="default"/>
        <w:color w:val="11497B" w:themeColor="accent1"/>
      </w:rPr>
    </w:lvl>
    <w:lvl w:ilvl="3">
      <w:start w:val="1"/>
      <w:numFmt w:val="bullet"/>
      <w:lvlText w:val="•"/>
      <w:lvlJc w:val="left"/>
      <w:pPr>
        <w:ind w:left="1429" w:hanging="357"/>
      </w:pPr>
      <w:rPr>
        <w:rFonts w:ascii="Calibri" w:hAnsi="Calibri" w:hint="default"/>
        <w:color w:val="11497B" w:themeColor="accent1"/>
      </w:rPr>
    </w:lvl>
    <w:lvl w:ilvl="4">
      <w:start w:val="1"/>
      <w:numFmt w:val="bullet"/>
      <w:lvlText w:val="•"/>
      <w:lvlJc w:val="left"/>
      <w:pPr>
        <w:ind w:left="1786" w:hanging="357"/>
      </w:pPr>
      <w:rPr>
        <w:rFonts w:ascii="Calibri" w:hAnsi="Calibri" w:hint="default"/>
        <w:color w:val="11497B" w:themeColor="accent1"/>
      </w:rPr>
    </w:lvl>
    <w:lvl w:ilvl="5">
      <w:start w:val="1"/>
      <w:numFmt w:val="bullet"/>
      <w:lvlText w:val="•"/>
      <w:lvlJc w:val="left"/>
      <w:pPr>
        <w:ind w:left="2143" w:hanging="357"/>
      </w:pPr>
      <w:rPr>
        <w:rFonts w:ascii="Calibri" w:hAnsi="Calibri" w:hint="default"/>
        <w:color w:val="11497B" w:themeColor="accent1"/>
      </w:rPr>
    </w:lvl>
    <w:lvl w:ilvl="6">
      <w:start w:val="1"/>
      <w:numFmt w:val="bullet"/>
      <w:lvlText w:val="•"/>
      <w:lvlJc w:val="left"/>
      <w:pPr>
        <w:ind w:left="2500" w:hanging="357"/>
      </w:pPr>
      <w:rPr>
        <w:rFonts w:ascii="Calibri" w:hAnsi="Calibri" w:hint="default"/>
        <w:color w:val="11497B" w:themeColor="accent1"/>
      </w:rPr>
    </w:lvl>
    <w:lvl w:ilvl="7">
      <w:start w:val="1"/>
      <w:numFmt w:val="bullet"/>
      <w:lvlText w:val="•"/>
      <w:lvlJc w:val="left"/>
      <w:pPr>
        <w:ind w:left="2858" w:hanging="358"/>
      </w:pPr>
      <w:rPr>
        <w:rFonts w:ascii="Calibri" w:hAnsi="Calibri" w:hint="default"/>
        <w:color w:val="11497B" w:themeColor="accent1"/>
      </w:rPr>
    </w:lvl>
    <w:lvl w:ilvl="8">
      <w:start w:val="1"/>
      <w:numFmt w:val="bullet"/>
      <w:lvlText w:val="•"/>
      <w:lvlJc w:val="left"/>
      <w:pPr>
        <w:ind w:left="3215" w:hanging="357"/>
      </w:pPr>
      <w:rPr>
        <w:rFonts w:ascii="Calibri" w:hAnsi="Calibri" w:hint="default"/>
        <w:color w:val="11497B" w:themeColor="accent1"/>
      </w:rPr>
    </w:lvl>
  </w:abstractNum>
  <w:abstractNum w:abstractNumId="17" w15:restartNumberingAfterBreak="0">
    <w:nsid w:val="519A4353"/>
    <w:multiLevelType w:val="hybridMultilevel"/>
    <w:tmpl w:val="1CCC45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9787E"/>
    <w:multiLevelType w:val="hybridMultilevel"/>
    <w:tmpl w:val="7512C1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E047E"/>
    <w:multiLevelType w:val="hybridMultilevel"/>
    <w:tmpl w:val="F4448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22EFC"/>
    <w:multiLevelType w:val="multilevel"/>
    <w:tmpl w:val="83D2877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."/>
      <w:lvlJc w:val="left"/>
      <w:pPr>
        <w:ind w:left="714" w:hanging="35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9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786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4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0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58" w:hanging="358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15" w:hanging="357"/>
      </w:pPr>
      <w:rPr>
        <w:rFonts w:hint="default"/>
      </w:rPr>
    </w:lvl>
  </w:abstractNum>
  <w:num w:numId="1" w16cid:durableId="1357805153">
    <w:abstractNumId w:val="9"/>
  </w:num>
  <w:num w:numId="2" w16cid:durableId="936326077">
    <w:abstractNumId w:val="7"/>
  </w:num>
  <w:num w:numId="3" w16cid:durableId="1859077160">
    <w:abstractNumId w:val="6"/>
  </w:num>
  <w:num w:numId="4" w16cid:durableId="2038041199">
    <w:abstractNumId w:val="5"/>
  </w:num>
  <w:num w:numId="5" w16cid:durableId="962075580">
    <w:abstractNumId w:val="4"/>
  </w:num>
  <w:num w:numId="6" w16cid:durableId="2101370735">
    <w:abstractNumId w:val="8"/>
  </w:num>
  <w:num w:numId="7" w16cid:durableId="1507667515">
    <w:abstractNumId w:val="3"/>
  </w:num>
  <w:num w:numId="8" w16cid:durableId="361826197">
    <w:abstractNumId w:val="2"/>
  </w:num>
  <w:num w:numId="9" w16cid:durableId="178593317">
    <w:abstractNumId w:val="1"/>
  </w:num>
  <w:num w:numId="10" w16cid:durableId="1638102382">
    <w:abstractNumId w:val="0"/>
  </w:num>
  <w:num w:numId="11" w16cid:durableId="1109012793">
    <w:abstractNumId w:val="9"/>
  </w:num>
  <w:num w:numId="12" w16cid:durableId="69431071">
    <w:abstractNumId w:val="8"/>
  </w:num>
  <w:num w:numId="13" w16cid:durableId="1217399472">
    <w:abstractNumId w:val="7"/>
  </w:num>
  <w:num w:numId="14" w16cid:durableId="2108959498">
    <w:abstractNumId w:val="9"/>
  </w:num>
  <w:num w:numId="15" w16cid:durableId="1062365279">
    <w:abstractNumId w:val="8"/>
  </w:num>
  <w:num w:numId="16" w16cid:durableId="1379742205">
    <w:abstractNumId w:val="7"/>
  </w:num>
  <w:num w:numId="17" w16cid:durableId="39062356">
    <w:abstractNumId w:val="9"/>
  </w:num>
  <w:num w:numId="18" w16cid:durableId="2043019600">
    <w:abstractNumId w:val="8"/>
  </w:num>
  <w:num w:numId="19" w16cid:durableId="2122141233">
    <w:abstractNumId w:val="7"/>
  </w:num>
  <w:num w:numId="20" w16cid:durableId="1879274875">
    <w:abstractNumId w:val="9"/>
  </w:num>
  <w:num w:numId="21" w16cid:durableId="1583638617">
    <w:abstractNumId w:val="8"/>
  </w:num>
  <w:num w:numId="22" w16cid:durableId="1541742170">
    <w:abstractNumId w:val="7"/>
  </w:num>
  <w:num w:numId="23" w16cid:durableId="469173019">
    <w:abstractNumId w:val="15"/>
  </w:num>
  <w:num w:numId="24" w16cid:durableId="68770301">
    <w:abstractNumId w:val="19"/>
  </w:num>
  <w:num w:numId="25" w16cid:durableId="752699051">
    <w:abstractNumId w:val="16"/>
  </w:num>
  <w:num w:numId="26" w16cid:durableId="372120612">
    <w:abstractNumId w:val="13"/>
  </w:num>
  <w:num w:numId="27" w16cid:durableId="748505568">
    <w:abstractNumId w:val="20"/>
  </w:num>
  <w:num w:numId="28" w16cid:durableId="2102293284">
    <w:abstractNumId w:val="20"/>
  </w:num>
  <w:num w:numId="29" w16cid:durableId="104156824">
    <w:abstractNumId w:val="16"/>
  </w:num>
  <w:num w:numId="30" w16cid:durableId="976642295">
    <w:abstractNumId w:val="13"/>
  </w:num>
  <w:num w:numId="31" w16cid:durableId="1367218747">
    <w:abstractNumId w:val="20"/>
  </w:num>
  <w:num w:numId="32" w16cid:durableId="187836470">
    <w:abstractNumId w:val="20"/>
  </w:num>
  <w:num w:numId="33" w16cid:durableId="384180539">
    <w:abstractNumId w:val="13"/>
  </w:num>
  <w:num w:numId="34" w16cid:durableId="37051309">
    <w:abstractNumId w:val="20"/>
  </w:num>
  <w:num w:numId="35" w16cid:durableId="1360811746">
    <w:abstractNumId w:val="20"/>
  </w:num>
  <w:num w:numId="36" w16cid:durableId="1939099485">
    <w:abstractNumId w:val="14"/>
  </w:num>
  <w:num w:numId="37" w16cid:durableId="944653139">
    <w:abstractNumId w:val="11"/>
  </w:num>
  <w:num w:numId="38" w16cid:durableId="1480263566">
    <w:abstractNumId w:val="12"/>
  </w:num>
  <w:num w:numId="39" w16cid:durableId="1525710765">
    <w:abstractNumId w:val="18"/>
  </w:num>
  <w:num w:numId="40" w16cid:durableId="1688867170">
    <w:abstractNumId w:val="10"/>
  </w:num>
  <w:num w:numId="41" w16cid:durableId="649606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99"/>
    <w:rsid w:val="000008CE"/>
    <w:rsid w:val="00003A91"/>
    <w:rsid w:val="000078D1"/>
    <w:rsid w:val="00012EB4"/>
    <w:rsid w:val="00014083"/>
    <w:rsid w:val="00014CF7"/>
    <w:rsid w:val="00024416"/>
    <w:rsid w:val="00027C2E"/>
    <w:rsid w:val="00040B29"/>
    <w:rsid w:val="000428C5"/>
    <w:rsid w:val="000464BF"/>
    <w:rsid w:val="00053620"/>
    <w:rsid w:val="00057D36"/>
    <w:rsid w:val="0006000C"/>
    <w:rsid w:val="00064964"/>
    <w:rsid w:val="00064DA0"/>
    <w:rsid w:val="0007186E"/>
    <w:rsid w:val="00072995"/>
    <w:rsid w:val="00073622"/>
    <w:rsid w:val="00083293"/>
    <w:rsid w:val="00083CCE"/>
    <w:rsid w:val="00083DBD"/>
    <w:rsid w:val="00084213"/>
    <w:rsid w:val="00084E1F"/>
    <w:rsid w:val="00085381"/>
    <w:rsid w:val="00093F72"/>
    <w:rsid w:val="000A3FE1"/>
    <w:rsid w:val="000A7747"/>
    <w:rsid w:val="000C280B"/>
    <w:rsid w:val="000C306A"/>
    <w:rsid w:val="000C56AA"/>
    <w:rsid w:val="000D117E"/>
    <w:rsid w:val="00101C73"/>
    <w:rsid w:val="00124693"/>
    <w:rsid w:val="00126675"/>
    <w:rsid w:val="00130BE1"/>
    <w:rsid w:val="00131F07"/>
    <w:rsid w:val="00132A51"/>
    <w:rsid w:val="00133B36"/>
    <w:rsid w:val="00143A75"/>
    <w:rsid w:val="0014786D"/>
    <w:rsid w:val="00147DEA"/>
    <w:rsid w:val="00156608"/>
    <w:rsid w:val="001612FF"/>
    <w:rsid w:val="001654C4"/>
    <w:rsid w:val="0016553C"/>
    <w:rsid w:val="00166EA5"/>
    <w:rsid w:val="0016760F"/>
    <w:rsid w:val="00167670"/>
    <w:rsid w:val="00172A84"/>
    <w:rsid w:val="00174561"/>
    <w:rsid w:val="00180FA4"/>
    <w:rsid w:val="00181144"/>
    <w:rsid w:val="00186D1D"/>
    <w:rsid w:val="00192FE6"/>
    <w:rsid w:val="001932E9"/>
    <w:rsid w:val="00195B70"/>
    <w:rsid w:val="001978D9"/>
    <w:rsid w:val="001A33FB"/>
    <w:rsid w:val="001B3E7B"/>
    <w:rsid w:val="001D0F10"/>
    <w:rsid w:val="001D7652"/>
    <w:rsid w:val="001E2370"/>
    <w:rsid w:val="001E7D6A"/>
    <w:rsid w:val="001F2A63"/>
    <w:rsid w:val="00206682"/>
    <w:rsid w:val="002217B8"/>
    <w:rsid w:val="002238B4"/>
    <w:rsid w:val="00223EBD"/>
    <w:rsid w:val="002346BB"/>
    <w:rsid w:val="00235504"/>
    <w:rsid w:val="00237115"/>
    <w:rsid w:val="0024136B"/>
    <w:rsid w:val="00241565"/>
    <w:rsid w:val="00241B74"/>
    <w:rsid w:val="00246649"/>
    <w:rsid w:val="002507AE"/>
    <w:rsid w:val="0025416F"/>
    <w:rsid w:val="00261D55"/>
    <w:rsid w:val="00262723"/>
    <w:rsid w:val="00265495"/>
    <w:rsid w:val="0026604A"/>
    <w:rsid w:val="00266A14"/>
    <w:rsid w:val="002728A5"/>
    <w:rsid w:val="0027481C"/>
    <w:rsid w:val="002761DD"/>
    <w:rsid w:val="00285632"/>
    <w:rsid w:val="00286B03"/>
    <w:rsid w:val="002911C9"/>
    <w:rsid w:val="0029422E"/>
    <w:rsid w:val="00294583"/>
    <w:rsid w:val="002973CD"/>
    <w:rsid w:val="002A3E90"/>
    <w:rsid w:val="002A484F"/>
    <w:rsid w:val="002B24D6"/>
    <w:rsid w:val="002C0233"/>
    <w:rsid w:val="002C124E"/>
    <w:rsid w:val="002C1645"/>
    <w:rsid w:val="002D4793"/>
    <w:rsid w:val="002D4B57"/>
    <w:rsid w:val="002F0711"/>
    <w:rsid w:val="002F0E1A"/>
    <w:rsid w:val="002F26D1"/>
    <w:rsid w:val="002F2C6A"/>
    <w:rsid w:val="002F4E3F"/>
    <w:rsid w:val="00302020"/>
    <w:rsid w:val="0031095B"/>
    <w:rsid w:val="003228BC"/>
    <w:rsid w:val="00327AE5"/>
    <w:rsid w:val="0033478A"/>
    <w:rsid w:val="0034238D"/>
    <w:rsid w:val="003430F4"/>
    <w:rsid w:val="00344407"/>
    <w:rsid w:val="00345270"/>
    <w:rsid w:val="00347F5A"/>
    <w:rsid w:val="00350168"/>
    <w:rsid w:val="0035347F"/>
    <w:rsid w:val="00360FFC"/>
    <w:rsid w:val="00361096"/>
    <w:rsid w:val="00367B57"/>
    <w:rsid w:val="00374933"/>
    <w:rsid w:val="00381C5E"/>
    <w:rsid w:val="00382F18"/>
    <w:rsid w:val="00383DD0"/>
    <w:rsid w:val="00384CAA"/>
    <w:rsid w:val="00387A3A"/>
    <w:rsid w:val="003A1FA5"/>
    <w:rsid w:val="003A5A18"/>
    <w:rsid w:val="003A6E0D"/>
    <w:rsid w:val="003B3124"/>
    <w:rsid w:val="003B44E9"/>
    <w:rsid w:val="003C6AC4"/>
    <w:rsid w:val="003D1B30"/>
    <w:rsid w:val="003D1D0F"/>
    <w:rsid w:val="003E220A"/>
    <w:rsid w:val="003E5554"/>
    <w:rsid w:val="0040172E"/>
    <w:rsid w:val="00416698"/>
    <w:rsid w:val="00443164"/>
    <w:rsid w:val="00471945"/>
    <w:rsid w:val="00484BF2"/>
    <w:rsid w:val="00485F80"/>
    <w:rsid w:val="00486378"/>
    <w:rsid w:val="00486858"/>
    <w:rsid w:val="00487B88"/>
    <w:rsid w:val="00494FC3"/>
    <w:rsid w:val="0049616C"/>
    <w:rsid w:val="004A0F4D"/>
    <w:rsid w:val="004B25EF"/>
    <w:rsid w:val="004C4081"/>
    <w:rsid w:val="004D1831"/>
    <w:rsid w:val="004D346E"/>
    <w:rsid w:val="004D3B1E"/>
    <w:rsid w:val="004E5D8C"/>
    <w:rsid w:val="004E64E7"/>
    <w:rsid w:val="004F60A3"/>
    <w:rsid w:val="005079BF"/>
    <w:rsid w:val="00517D92"/>
    <w:rsid w:val="005251DF"/>
    <w:rsid w:val="00525F90"/>
    <w:rsid w:val="005279E7"/>
    <w:rsid w:val="00527B5B"/>
    <w:rsid w:val="00542CC6"/>
    <w:rsid w:val="005502E0"/>
    <w:rsid w:val="00551FC4"/>
    <w:rsid w:val="00554B73"/>
    <w:rsid w:val="00564DB2"/>
    <w:rsid w:val="005732A8"/>
    <w:rsid w:val="00586BA7"/>
    <w:rsid w:val="005916FC"/>
    <w:rsid w:val="005A13E4"/>
    <w:rsid w:val="005B0FB0"/>
    <w:rsid w:val="005C2450"/>
    <w:rsid w:val="005C3FF7"/>
    <w:rsid w:val="005C6490"/>
    <w:rsid w:val="005E2C0A"/>
    <w:rsid w:val="005F306B"/>
    <w:rsid w:val="005F31DA"/>
    <w:rsid w:val="005F6730"/>
    <w:rsid w:val="00600342"/>
    <w:rsid w:val="006046C7"/>
    <w:rsid w:val="00611BDC"/>
    <w:rsid w:val="006165F6"/>
    <w:rsid w:val="00624195"/>
    <w:rsid w:val="00627A6E"/>
    <w:rsid w:val="00631188"/>
    <w:rsid w:val="00637C22"/>
    <w:rsid w:val="006402DF"/>
    <w:rsid w:val="00640762"/>
    <w:rsid w:val="0064482C"/>
    <w:rsid w:val="006535A0"/>
    <w:rsid w:val="00666EDE"/>
    <w:rsid w:val="0067002A"/>
    <w:rsid w:val="0067217B"/>
    <w:rsid w:val="006776EA"/>
    <w:rsid w:val="00680E30"/>
    <w:rsid w:val="006875E0"/>
    <w:rsid w:val="006903ED"/>
    <w:rsid w:val="00693848"/>
    <w:rsid w:val="006A7088"/>
    <w:rsid w:val="006A73D1"/>
    <w:rsid w:val="006B2E87"/>
    <w:rsid w:val="006B53EE"/>
    <w:rsid w:val="006B6AFC"/>
    <w:rsid w:val="006C7107"/>
    <w:rsid w:val="006C7333"/>
    <w:rsid w:val="006D0387"/>
    <w:rsid w:val="006D4FF4"/>
    <w:rsid w:val="006E03FF"/>
    <w:rsid w:val="006E444E"/>
    <w:rsid w:val="006E50C4"/>
    <w:rsid w:val="006F01B2"/>
    <w:rsid w:val="006F258C"/>
    <w:rsid w:val="006F3841"/>
    <w:rsid w:val="006F3DA8"/>
    <w:rsid w:val="006F6984"/>
    <w:rsid w:val="00702A7F"/>
    <w:rsid w:val="00703E04"/>
    <w:rsid w:val="00705BD2"/>
    <w:rsid w:val="00715408"/>
    <w:rsid w:val="00715973"/>
    <w:rsid w:val="007235E7"/>
    <w:rsid w:val="00731159"/>
    <w:rsid w:val="00737333"/>
    <w:rsid w:val="00737DB4"/>
    <w:rsid w:val="00747730"/>
    <w:rsid w:val="00747A15"/>
    <w:rsid w:val="00760126"/>
    <w:rsid w:val="007655F5"/>
    <w:rsid w:val="00770F6E"/>
    <w:rsid w:val="00772D9C"/>
    <w:rsid w:val="0077382B"/>
    <w:rsid w:val="00775DC2"/>
    <w:rsid w:val="007776DB"/>
    <w:rsid w:val="007923E9"/>
    <w:rsid w:val="007A624B"/>
    <w:rsid w:val="007A69CB"/>
    <w:rsid w:val="007A7339"/>
    <w:rsid w:val="007B6A34"/>
    <w:rsid w:val="007C3F84"/>
    <w:rsid w:val="007C628A"/>
    <w:rsid w:val="007D40B0"/>
    <w:rsid w:val="007E1C8C"/>
    <w:rsid w:val="007F0279"/>
    <w:rsid w:val="007F09BD"/>
    <w:rsid w:val="007F5A30"/>
    <w:rsid w:val="007F626E"/>
    <w:rsid w:val="008004A4"/>
    <w:rsid w:val="008009E7"/>
    <w:rsid w:val="008017E6"/>
    <w:rsid w:val="0080400E"/>
    <w:rsid w:val="00811253"/>
    <w:rsid w:val="008117DC"/>
    <w:rsid w:val="0081720B"/>
    <w:rsid w:val="00821946"/>
    <w:rsid w:val="00824040"/>
    <w:rsid w:val="008262AE"/>
    <w:rsid w:val="00830765"/>
    <w:rsid w:val="00854AF7"/>
    <w:rsid w:val="00855C28"/>
    <w:rsid w:val="00857A6D"/>
    <w:rsid w:val="00857B2F"/>
    <w:rsid w:val="00864173"/>
    <w:rsid w:val="0088248E"/>
    <w:rsid w:val="008850E2"/>
    <w:rsid w:val="00887530"/>
    <w:rsid w:val="00887A81"/>
    <w:rsid w:val="008912A0"/>
    <w:rsid w:val="00892D94"/>
    <w:rsid w:val="00895E6E"/>
    <w:rsid w:val="00897F7C"/>
    <w:rsid w:val="008A1646"/>
    <w:rsid w:val="008A236F"/>
    <w:rsid w:val="008B007D"/>
    <w:rsid w:val="008B18C1"/>
    <w:rsid w:val="008C06F1"/>
    <w:rsid w:val="008C3A33"/>
    <w:rsid w:val="008C7D0E"/>
    <w:rsid w:val="008D156B"/>
    <w:rsid w:val="008D4FC4"/>
    <w:rsid w:val="008D6CA8"/>
    <w:rsid w:val="008E0719"/>
    <w:rsid w:val="008E38D9"/>
    <w:rsid w:val="008F04EB"/>
    <w:rsid w:val="008F0DED"/>
    <w:rsid w:val="008F2608"/>
    <w:rsid w:val="008F4195"/>
    <w:rsid w:val="008F7A11"/>
    <w:rsid w:val="00912A38"/>
    <w:rsid w:val="0091364D"/>
    <w:rsid w:val="00917642"/>
    <w:rsid w:val="009177C6"/>
    <w:rsid w:val="00917AF1"/>
    <w:rsid w:val="00924CFE"/>
    <w:rsid w:val="00927CF3"/>
    <w:rsid w:val="00932D52"/>
    <w:rsid w:val="00933658"/>
    <w:rsid w:val="00937500"/>
    <w:rsid w:val="00940365"/>
    <w:rsid w:val="00942BE4"/>
    <w:rsid w:val="00954878"/>
    <w:rsid w:val="00961331"/>
    <w:rsid w:val="009618B8"/>
    <w:rsid w:val="009639B0"/>
    <w:rsid w:val="009653C9"/>
    <w:rsid w:val="00976C57"/>
    <w:rsid w:val="00976D4E"/>
    <w:rsid w:val="0098386B"/>
    <w:rsid w:val="009855C6"/>
    <w:rsid w:val="00986184"/>
    <w:rsid w:val="00987385"/>
    <w:rsid w:val="00990DE2"/>
    <w:rsid w:val="009A0C2B"/>
    <w:rsid w:val="009A0FE7"/>
    <w:rsid w:val="009B28F1"/>
    <w:rsid w:val="009B3027"/>
    <w:rsid w:val="009B6748"/>
    <w:rsid w:val="009D295B"/>
    <w:rsid w:val="009D3793"/>
    <w:rsid w:val="009D45A8"/>
    <w:rsid w:val="009E06B1"/>
    <w:rsid w:val="009E6FA6"/>
    <w:rsid w:val="009F4132"/>
    <w:rsid w:val="009F4B93"/>
    <w:rsid w:val="00A0050F"/>
    <w:rsid w:val="00A06FA0"/>
    <w:rsid w:val="00A10DF9"/>
    <w:rsid w:val="00A1381D"/>
    <w:rsid w:val="00A13923"/>
    <w:rsid w:val="00A15320"/>
    <w:rsid w:val="00A23ECB"/>
    <w:rsid w:val="00A2608A"/>
    <w:rsid w:val="00A27DCE"/>
    <w:rsid w:val="00A34FA6"/>
    <w:rsid w:val="00A41E02"/>
    <w:rsid w:val="00A44A6E"/>
    <w:rsid w:val="00A5017B"/>
    <w:rsid w:val="00A56C89"/>
    <w:rsid w:val="00A56EF6"/>
    <w:rsid w:val="00A73001"/>
    <w:rsid w:val="00A80388"/>
    <w:rsid w:val="00A851CC"/>
    <w:rsid w:val="00A864CC"/>
    <w:rsid w:val="00A94062"/>
    <w:rsid w:val="00AA0F0A"/>
    <w:rsid w:val="00AB2724"/>
    <w:rsid w:val="00AB3557"/>
    <w:rsid w:val="00AC249B"/>
    <w:rsid w:val="00AC5F22"/>
    <w:rsid w:val="00AE1299"/>
    <w:rsid w:val="00AE2BA2"/>
    <w:rsid w:val="00AF0EE6"/>
    <w:rsid w:val="00AF1568"/>
    <w:rsid w:val="00AF4B83"/>
    <w:rsid w:val="00B101F9"/>
    <w:rsid w:val="00B1449F"/>
    <w:rsid w:val="00B16974"/>
    <w:rsid w:val="00B22D0C"/>
    <w:rsid w:val="00B24ED7"/>
    <w:rsid w:val="00B4184D"/>
    <w:rsid w:val="00B4320A"/>
    <w:rsid w:val="00B43580"/>
    <w:rsid w:val="00B46B4B"/>
    <w:rsid w:val="00B54131"/>
    <w:rsid w:val="00B54352"/>
    <w:rsid w:val="00B54DE8"/>
    <w:rsid w:val="00B5733D"/>
    <w:rsid w:val="00B72C81"/>
    <w:rsid w:val="00B72FF9"/>
    <w:rsid w:val="00B749FE"/>
    <w:rsid w:val="00B74D4C"/>
    <w:rsid w:val="00B76A4F"/>
    <w:rsid w:val="00B77300"/>
    <w:rsid w:val="00B8036A"/>
    <w:rsid w:val="00B841B0"/>
    <w:rsid w:val="00B871F0"/>
    <w:rsid w:val="00B9101F"/>
    <w:rsid w:val="00B92BFB"/>
    <w:rsid w:val="00B9640F"/>
    <w:rsid w:val="00BA16D9"/>
    <w:rsid w:val="00BA1EE2"/>
    <w:rsid w:val="00BA423F"/>
    <w:rsid w:val="00BA4D64"/>
    <w:rsid w:val="00BA5D9F"/>
    <w:rsid w:val="00BB0255"/>
    <w:rsid w:val="00BB0503"/>
    <w:rsid w:val="00BB44E1"/>
    <w:rsid w:val="00BC00AC"/>
    <w:rsid w:val="00BC3DD3"/>
    <w:rsid w:val="00BD0F27"/>
    <w:rsid w:val="00BD421E"/>
    <w:rsid w:val="00BD5DF7"/>
    <w:rsid w:val="00BE229C"/>
    <w:rsid w:val="00BE3439"/>
    <w:rsid w:val="00BE609A"/>
    <w:rsid w:val="00BF039F"/>
    <w:rsid w:val="00BF2DF4"/>
    <w:rsid w:val="00BF6484"/>
    <w:rsid w:val="00BF773D"/>
    <w:rsid w:val="00C00554"/>
    <w:rsid w:val="00C01904"/>
    <w:rsid w:val="00C02F79"/>
    <w:rsid w:val="00C0325D"/>
    <w:rsid w:val="00C059C0"/>
    <w:rsid w:val="00C069ED"/>
    <w:rsid w:val="00C200AC"/>
    <w:rsid w:val="00C2138F"/>
    <w:rsid w:val="00C22F22"/>
    <w:rsid w:val="00C2385C"/>
    <w:rsid w:val="00C4295D"/>
    <w:rsid w:val="00C466E9"/>
    <w:rsid w:val="00C4761C"/>
    <w:rsid w:val="00C62283"/>
    <w:rsid w:val="00C627A3"/>
    <w:rsid w:val="00C63F15"/>
    <w:rsid w:val="00C6474F"/>
    <w:rsid w:val="00C64CA8"/>
    <w:rsid w:val="00C755A8"/>
    <w:rsid w:val="00C76A8B"/>
    <w:rsid w:val="00C80CBC"/>
    <w:rsid w:val="00C86490"/>
    <w:rsid w:val="00C95D98"/>
    <w:rsid w:val="00CA0551"/>
    <w:rsid w:val="00CA1247"/>
    <w:rsid w:val="00CA486B"/>
    <w:rsid w:val="00CA5740"/>
    <w:rsid w:val="00CB0A08"/>
    <w:rsid w:val="00CC6FFE"/>
    <w:rsid w:val="00CD0BA4"/>
    <w:rsid w:val="00CD4559"/>
    <w:rsid w:val="00CD7DAB"/>
    <w:rsid w:val="00CE3EB3"/>
    <w:rsid w:val="00D0250E"/>
    <w:rsid w:val="00D0266C"/>
    <w:rsid w:val="00D05E45"/>
    <w:rsid w:val="00D10C1B"/>
    <w:rsid w:val="00D16A3F"/>
    <w:rsid w:val="00D17E70"/>
    <w:rsid w:val="00D31205"/>
    <w:rsid w:val="00D3169A"/>
    <w:rsid w:val="00D31AC2"/>
    <w:rsid w:val="00D354D6"/>
    <w:rsid w:val="00D40391"/>
    <w:rsid w:val="00D538C7"/>
    <w:rsid w:val="00D61746"/>
    <w:rsid w:val="00D662A9"/>
    <w:rsid w:val="00D82B23"/>
    <w:rsid w:val="00D95456"/>
    <w:rsid w:val="00D95971"/>
    <w:rsid w:val="00D9738E"/>
    <w:rsid w:val="00DA10EE"/>
    <w:rsid w:val="00DA1DA7"/>
    <w:rsid w:val="00DB3302"/>
    <w:rsid w:val="00DB6306"/>
    <w:rsid w:val="00DC13E5"/>
    <w:rsid w:val="00DC1FDF"/>
    <w:rsid w:val="00DC2A4F"/>
    <w:rsid w:val="00DC3A6A"/>
    <w:rsid w:val="00DE30E0"/>
    <w:rsid w:val="00DE7301"/>
    <w:rsid w:val="00DF152A"/>
    <w:rsid w:val="00DF20A8"/>
    <w:rsid w:val="00DF7C08"/>
    <w:rsid w:val="00E05C17"/>
    <w:rsid w:val="00E069BB"/>
    <w:rsid w:val="00E16B8D"/>
    <w:rsid w:val="00E201D2"/>
    <w:rsid w:val="00E2149D"/>
    <w:rsid w:val="00E22B18"/>
    <w:rsid w:val="00E2438A"/>
    <w:rsid w:val="00E278C7"/>
    <w:rsid w:val="00E30983"/>
    <w:rsid w:val="00E31F5B"/>
    <w:rsid w:val="00E33F8B"/>
    <w:rsid w:val="00E34145"/>
    <w:rsid w:val="00E43FB9"/>
    <w:rsid w:val="00E453EB"/>
    <w:rsid w:val="00E51E24"/>
    <w:rsid w:val="00E51FCA"/>
    <w:rsid w:val="00E54D7D"/>
    <w:rsid w:val="00E62861"/>
    <w:rsid w:val="00E71D1F"/>
    <w:rsid w:val="00E72C23"/>
    <w:rsid w:val="00E863B2"/>
    <w:rsid w:val="00EA0286"/>
    <w:rsid w:val="00EA6131"/>
    <w:rsid w:val="00EA6698"/>
    <w:rsid w:val="00EB1E33"/>
    <w:rsid w:val="00EB5835"/>
    <w:rsid w:val="00EC3986"/>
    <w:rsid w:val="00EE6949"/>
    <w:rsid w:val="00EF09E4"/>
    <w:rsid w:val="00EF14D3"/>
    <w:rsid w:val="00EF5F38"/>
    <w:rsid w:val="00EF6DCC"/>
    <w:rsid w:val="00EF7F28"/>
    <w:rsid w:val="00F02BB6"/>
    <w:rsid w:val="00F14059"/>
    <w:rsid w:val="00F15B55"/>
    <w:rsid w:val="00F20B96"/>
    <w:rsid w:val="00F350E0"/>
    <w:rsid w:val="00F37F04"/>
    <w:rsid w:val="00F455CC"/>
    <w:rsid w:val="00F551FB"/>
    <w:rsid w:val="00F57906"/>
    <w:rsid w:val="00F63135"/>
    <w:rsid w:val="00F7358B"/>
    <w:rsid w:val="00F861CA"/>
    <w:rsid w:val="00F872BB"/>
    <w:rsid w:val="00F932D8"/>
    <w:rsid w:val="00F9498F"/>
    <w:rsid w:val="00F977C3"/>
    <w:rsid w:val="00FA63C2"/>
    <w:rsid w:val="00FB4636"/>
    <w:rsid w:val="00FC3CE9"/>
    <w:rsid w:val="00FC502B"/>
    <w:rsid w:val="00FC78E9"/>
    <w:rsid w:val="00FD1AFA"/>
    <w:rsid w:val="00FD41AE"/>
    <w:rsid w:val="00FD4436"/>
    <w:rsid w:val="00FD49FF"/>
    <w:rsid w:val="00FD67FB"/>
    <w:rsid w:val="00FF2AC6"/>
    <w:rsid w:val="00FF3023"/>
    <w:rsid w:val="00FF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F21C"/>
  <w15:docId w15:val="{4CFAE85A-33EB-4C31-92BC-FDC67EF3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iPriority="22" w:unhideWhenUsed="1" w:qFormat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129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qFormat/>
    <w:rsid w:val="00811253"/>
    <w:pPr>
      <w:spacing w:after="0" w:line="240" w:lineRule="auto"/>
      <w:outlineLvl w:val="0"/>
    </w:pPr>
    <w:rPr>
      <w:rFonts w:ascii="Calibri" w:eastAsia="Times New Roman" w:hAnsi="Calibri" w:cs="Calibri"/>
      <w:b/>
      <w:bCs/>
      <w:color w:val="126AF3" w:themeColor="accent2"/>
      <w:kern w:val="0"/>
      <w:sz w:val="36"/>
      <w:szCs w:val="36"/>
      <w:lang w:eastAsia="da-DK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A1381D"/>
    <w:pPr>
      <w:spacing w:after="0" w:line="240" w:lineRule="auto"/>
      <w:outlineLvl w:val="1"/>
    </w:pPr>
    <w:rPr>
      <w:rFonts w:ascii="Calibri" w:eastAsia="Times New Roman" w:hAnsi="Calibri" w:cs="Calibri"/>
      <w:b/>
      <w:bCs/>
      <w:color w:val="126AF3" w:themeColor="accent2"/>
      <w:kern w:val="0"/>
      <w:sz w:val="28"/>
      <w:szCs w:val="28"/>
      <w:lang w:eastAsia="da-DK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D31AC2"/>
    <w:pPr>
      <w:spacing w:after="0" w:line="240" w:lineRule="auto"/>
      <w:outlineLvl w:val="2"/>
    </w:pPr>
    <w:rPr>
      <w:rFonts w:ascii="Calibri" w:eastAsia="Times New Roman" w:hAnsi="Calibri" w:cs="Calibri"/>
      <w:b/>
      <w:bCs/>
      <w:color w:val="000000" w:themeColor="text1"/>
      <w:kern w:val="0"/>
      <w:sz w:val="24"/>
      <w:szCs w:val="24"/>
      <w:lang w:eastAsia="da-DK"/>
      <w14:ligatures w14:val="none"/>
    </w:rPr>
  </w:style>
  <w:style w:type="paragraph" w:styleId="Heading4">
    <w:name w:val="heading 4"/>
    <w:basedOn w:val="Normal"/>
    <w:next w:val="Normal"/>
    <w:link w:val="Heading4Char"/>
    <w:semiHidden/>
    <w:unhideWhenUsed/>
    <w:rsid w:val="0063118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11497B" w:themeColor="accent1"/>
      <w:kern w:val="0"/>
      <w:sz w:val="24"/>
      <w:szCs w:val="24"/>
      <w:lang w:val="en-GB" w:eastAsia="da-DK"/>
      <w14:ligatures w14:val="none"/>
    </w:rPr>
  </w:style>
  <w:style w:type="paragraph" w:styleId="Heading5">
    <w:name w:val="heading 5"/>
    <w:basedOn w:val="Normal"/>
    <w:next w:val="Normal"/>
    <w:link w:val="Heading5Char"/>
    <w:semiHidden/>
    <w:unhideWhenUsed/>
    <w:rsid w:val="0063118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08243D" w:themeColor="accent1" w:themeShade="7F"/>
      <w:kern w:val="0"/>
      <w:sz w:val="24"/>
      <w:szCs w:val="24"/>
      <w:lang w:val="en-GB" w:eastAsia="da-DK"/>
      <w14:ligatures w14:val="none"/>
    </w:rPr>
  </w:style>
  <w:style w:type="paragraph" w:styleId="Heading6">
    <w:name w:val="heading 6"/>
    <w:basedOn w:val="Normal"/>
    <w:next w:val="Normal"/>
    <w:link w:val="Heading6Char"/>
    <w:semiHidden/>
    <w:unhideWhenUsed/>
    <w:rsid w:val="00631188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08243D" w:themeColor="accent1" w:themeShade="7F"/>
      <w:kern w:val="0"/>
      <w:sz w:val="24"/>
      <w:szCs w:val="24"/>
      <w:lang w:val="en-GB" w:eastAsia="da-DK"/>
      <w14:ligatures w14:val="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655F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szCs w:val="24"/>
      <w:lang w:val="en-GB" w:eastAsia="da-DK"/>
      <w14:ligatures w14:val="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655F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GB" w:eastAsia="da-DK"/>
      <w14:ligatures w14:val="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655F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GB" w:eastAsia="da-D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2F0E1A"/>
    <w:pPr>
      <w:numPr>
        <w:numId w:val="35"/>
      </w:num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GB" w:eastAsia="da-DK"/>
      <w14:ligatures w14:val="none"/>
    </w:rPr>
  </w:style>
  <w:style w:type="paragraph" w:styleId="ListBullet">
    <w:name w:val="List Bullet"/>
    <w:basedOn w:val="ListParagraph"/>
    <w:qFormat/>
    <w:rsid w:val="002F0E1A"/>
    <w:pPr>
      <w:numPr>
        <w:numId w:val="33"/>
      </w:numPr>
    </w:pPr>
    <w:rPr>
      <w:rFonts w:cs="Calibri"/>
    </w:rPr>
  </w:style>
  <w:style w:type="paragraph" w:styleId="ListBullet2">
    <w:name w:val="List Bullet 2"/>
    <w:basedOn w:val="ListBullet"/>
    <w:rsid w:val="005279E7"/>
    <w:pPr>
      <w:ind w:left="568"/>
    </w:pPr>
  </w:style>
  <w:style w:type="character" w:customStyle="1" w:styleId="Heading1Char">
    <w:name w:val="Heading 1 Char"/>
    <w:basedOn w:val="DefaultParagraphFont"/>
    <w:link w:val="Heading1"/>
    <w:rsid w:val="00811253"/>
    <w:rPr>
      <w:rFonts w:ascii="Calibri" w:hAnsi="Calibri" w:cs="Calibri"/>
      <w:b/>
      <w:bCs/>
      <w:color w:val="126AF3" w:themeColor="accent2"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rsid w:val="00A1381D"/>
    <w:rPr>
      <w:rFonts w:ascii="Calibri" w:hAnsi="Calibri" w:cs="Calibri"/>
      <w:b/>
      <w:bCs/>
      <w:color w:val="126AF3" w:themeColor="accent2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D31AC2"/>
    <w:rPr>
      <w:rFonts w:ascii="Calibri" w:hAnsi="Calibri" w:cs="Calibri"/>
      <w:b/>
      <w:bCs/>
      <w:color w:val="000000" w:themeColor="text1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631188"/>
    <w:rPr>
      <w:rFonts w:asciiTheme="majorHAnsi" w:eastAsiaTheme="majorEastAsia" w:hAnsiTheme="majorHAnsi" w:cstheme="majorBidi"/>
      <w:b/>
      <w:bCs/>
      <w:i/>
      <w:iCs/>
      <w:color w:val="11497B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631188"/>
    <w:rPr>
      <w:rFonts w:asciiTheme="majorHAnsi" w:eastAsiaTheme="majorEastAsia" w:hAnsiTheme="majorHAnsi" w:cstheme="majorBidi"/>
      <w:color w:val="08243D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631188"/>
    <w:rPr>
      <w:rFonts w:asciiTheme="majorHAnsi" w:eastAsiaTheme="majorEastAsia" w:hAnsiTheme="majorHAnsi" w:cstheme="majorBidi"/>
      <w:i/>
      <w:iCs/>
      <w:color w:val="08243D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7655F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655F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7655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qFormat/>
    <w:rsid w:val="006F3DA8"/>
    <w:pPr>
      <w:spacing w:after="200" w:line="240" w:lineRule="auto"/>
    </w:pPr>
    <w:rPr>
      <w:rFonts w:ascii="Calibri" w:eastAsia="Times New Roman" w:hAnsi="Calibri" w:cs="Times New Roman"/>
      <w:b/>
      <w:bCs/>
      <w:kern w:val="0"/>
      <w:sz w:val="18"/>
      <w:szCs w:val="18"/>
      <w:lang w:val="en-GB" w:eastAsia="da-DK"/>
      <w14:ligatures w14:val="none"/>
    </w:rPr>
  </w:style>
  <w:style w:type="paragraph" w:styleId="Title">
    <w:name w:val="Title"/>
    <w:basedOn w:val="Normal"/>
    <w:next w:val="Normal"/>
    <w:link w:val="TitleChar"/>
    <w:uiPriority w:val="10"/>
    <w:unhideWhenUsed/>
    <w:qFormat/>
    <w:rsid w:val="00631188"/>
    <w:pPr>
      <w:pBdr>
        <w:bottom w:val="single" w:sz="8" w:space="4" w:color="11497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90B8D6" w:themeColor="text2" w:themeShade="BF"/>
      <w:spacing w:val="5"/>
      <w:kern w:val="28"/>
      <w:sz w:val="52"/>
      <w:szCs w:val="52"/>
      <w:lang w:val="en-GB" w:eastAsia="da-DK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631188"/>
    <w:rPr>
      <w:rFonts w:asciiTheme="majorHAnsi" w:eastAsiaTheme="majorEastAsia" w:hAnsiTheme="majorHAnsi" w:cstheme="majorBidi"/>
      <w:color w:val="90B8D6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semiHidden/>
    <w:unhideWhenUsed/>
    <w:rsid w:val="00631188"/>
    <w:pPr>
      <w:numPr>
        <w:ilvl w:val="1"/>
      </w:numPr>
    </w:pPr>
    <w:rPr>
      <w:rFonts w:asciiTheme="majorHAnsi" w:eastAsiaTheme="majorEastAsia" w:hAnsiTheme="majorHAnsi" w:cstheme="majorBidi"/>
      <w:i/>
      <w:iCs/>
      <w:color w:val="11497B" w:themeColor="accent1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631188"/>
    <w:rPr>
      <w:rFonts w:asciiTheme="majorHAnsi" w:eastAsiaTheme="majorEastAsia" w:hAnsiTheme="majorHAnsi" w:cstheme="majorBidi"/>
      <w:i/>
      <w:iCs/>
      <w:color w:val="11497B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unhideWhenUsed/>
    <w:qFormat/>
    <w:rsid w:val="00631188"/>
    <w:rPr>
      <w:b/>
      <w:bCs/>
    </w:rPr>
  </w:style>
  <w:style w:type="character" w:styleId="Emphasis">
    <w:name w:val="Emphasis"/>
    <w:basedOn w:val="DefaultParagraphFont"/>
    <w:semiHidden/>
    <w:rsid w:val="00631188"/>
    <w:rPr>
      <w:i/>
      <w:iCs/>
    </w:rPr>
  </w:style>
  <w:style w:type="paragraph" w:styleId="NoSpacing">
    <w:name w:val="No Spacing"/>
    <w:uiPriority w:val="1"/>
    <w:semiHidden/>
    <w:unhideWhenUsed/>
    <w:rsid w:val="00631188"/>
    <w:pPr>
      <w:tabs>
        <w:tab w:val="left" w:pos="992"/>
        <w:tab w:val="left" w:pos="1247"/>
      </w:tabs>
    </w:pPr>
    <w:rPr>
      <w:rFonts w:ascii="Grundfos TheSans V2" w:hAnsi="Grundfos TheSans V2"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631188"/>
    <w:pPr>
      <w:spacing w:after="0" w:line="240" w:lineRule="auto"/>
      <w:ind w:left="720"/>
      <w:contextualSpacing/>
    </w:pPr>
    <w:rPr>
      <w:rFonts w:ascii="Calibri" w:eastAsia="Times New Roman" w:hAnsi="Calibri" w:cs="Times New Roman"/>
      <w:kern w:val="0"/>
      <w:sz w:val="24"/>
      <w:szCs w:val="24"/>
      <w:lang w:val="en-GB" w:eastAsia="da-DK"/>
      <w14:ligatures w14:val="none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63118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31188"/>
    <w:rPr>
      <w:rFonts w:ascii="Grundfos TheSans V2" w:hAnsi="Grundfos TheSans V2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631188"/>
    <w:pPr>
      <w:pBdr>
        <w:bottom w:val="single" w:sz="4" w:space="4" w:color="11497B" w:themeColor="accent1"/>
      </w:pBdr>
      <w:spacing w:before="200" w:after="280"/>
      <w:ind w:left="936" w:right="936"/>
    </w:pPr>
    <w:rPr>
      <w:b/>
      <w:bCs/>
      <w:i/>
      <w:iCs/>
      <w:color w:val="11497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31188"/>
    <w:rPr>
      <w:rFonts w:ascii="Grundfos TheSans V2" w:hAnsi="Grundfos TheSans V2"/>
      <w:b/>
      <w:bCs/>
      <w:i/>
      <w:iCs/>
      <w:color w:val="11497B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rsid w:val="0063118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unhideWhenUsed/>
    <w:rsid w:val="00631188"/>
    <w:rPr>
      <w:b/>
      <w:bCs/>
      <w:i/>
      <w:iCs/>
      <w:color w:val="11497B" w:themeColor="accent1"/>
    </w:rPr>
  </w:style>
  <w:style w:type="character" w:styleId="SubtleReference">
    <w:name w:val="Subtle Reference"/>
    <w:basedOn w:val="DefaultParagraphFont"/>
    <w:uiPriority w:val="31"/>
    <w:semiHidden/>
    <w:unhideWhenUsed/>
    <w:rsid w:val="00631188"/>
    <w:rPr>
      <w:smallCaps/>
      <w:color w:val="126AF3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rsid w:val="00631188"/>
    <w:rPr>
      <w:b/>
      <w:bCs/>
      <w:smallCaps/>
      <w:color w:val="126AF3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unhideWhenUsed/>
    <w:rsid w:val="0063118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4C4081"/>
    <w:pPr>
      <w:keepLines/>
      <w:spacing w:before="480"/>
      <w:outlineLvl w:val="9"/>
    </w:pPr>
    <w:rPr>
      <w:rFonts w:cstheme="majorBidi"/>
    </w:rPr>
  </w:style>
  <w:style w:type="paragraph" w:styleId="Header">
    <w:name w:val="header"/>
    <w:basedOn w:val="Normal"/>
    <w:link w:val="HeaderChar"/>
    <w:semiHidden/>
    <w:rsid w:val="00924CFE"/>
    <w:pPr>
      <w:tabs>
        <w:tab w:val="center" w:pos="4986"/>
        <w:tab w:val="right" w:pos="9972"/>
      </w:tabs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GB" w:eastAsia="da-DK"/>
      <w14:ligatures w14:val="none"/>
    </w:rPr>
  </w:style>
  <w:style w:type="character" w:customStyle="1" w:styleId="HeaderChar">
    <w:name w:val="Header Char"/>
    <w:basedOn w:val="DefaultParagraphFont"/>
    <w:link w:val="Header"/>
    <w:semiHidden/>
    <w:rsid w:val="00924CFE"/>
    <w:rPr>
      <w:rFonts w:ascii="Grundfos TheSans V2" w:hAnsi="Grundfos TheSans V2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5DF7"/>
    <w:pPr>
      <w:tabs>
        <w:tab w:val="center" w:pos="4986"/>
        <w:tab w:val="right" w:pos="9972"/>
      </w:tabs>
      <w:spacing w:after="0" w:line="240" w:lineRule="auto"/>
    </w:pPr>
    <w:rPr>
      <w:rFonts w:ascii="Calibri" w:eastAsia="Times New Roman" w:hAnsi="Calibri" w:cs="Calibri"/>
      <w:color w:val="11497B" w:themeColor="accent1"/>
      <w:kern w:val="0"/>
      <w:sz w:val="17"/>
      <w:szCs w:val="17"/>
      <w:lang w:val="en-GB" w:eastAsia="da-DK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D5DF7"/>
    <w:rPr>
      <w:rFonts w:ascii="Calibri" w:hAnsi="Calibri" w:cs="Calibri"/>
      <w:color w:val="11497B" w:themeColor="accent1"/>
      <w:sz w:val="17"/>
      <w:szCs w:val="17"/>
    </w:rPr>
  </w:style>
  <w:style w:type="character" w:styleId="PlaceholderText">
    <w:name w:val="Placeholder Text"/>
    <w:basedOn w:val="DefaultParagraphFont"/>
    <w:uiPriority w:val="99"/>
    <w:semiHidden/>
    <w:rsid w:val="003E220A"/>
    <w:rPr>
      <w:color w:val="808080"/>
    </w:rPr>
  </w:style>
  <w:style w:type="table" w:styleId="TableGrid">
    <w:name w:val="Table Grid"/>
    <w:basedOn w:val="TableNormal"/>
    <w:uiPriority w:val="39"/>
    <w:rsid w:val="0055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semiHidden/>
    <w:rsid w:val="007F626E"/>
  </w:style>
  <w:style w:type="character" w:customStyle="1" w:styleId="DateChar">
    <w:name w:val="Date Char"/>
    <w:basedOn w:val="DefaultParagraphFont"/>
    <w:link w:val="Date"/>
    <w:semiHidden/>
    <w:rsid w:val="007F626E"/>
    <w:rPr>
      <w:rFonts w:ascii="Calibri" w:hAnsi="Calibri"/>
      <w:sz w:val="24"/>
      <w:szCs w:val="24"/>
    </w:rPr>
  </w:style>
  <w:style w:type="table" w:customStyle="1" w:styleId="TabelGrundfos1">
    <w:name w:val="TabelGrundfos1"/>
    <w:basedOn w:val="TableNormal"/>
    <w:uiPriority w:val="99"/>
    <w:rsid w:val="00B841B0"/>
    <w:rPr>
      <w:rFonts w:ascii="Calibri" w:hAnsi="Calibri"/>
      <w:sz w:val="24"/>
    </w:rPr>
    <w:tblPr>
      <w:tblBorders>
        <w:top w:val="single" w:sz="4" w:space="0" w:color="126AF3" w:themeColor="accent2"/>
        <w:bottom w:val="single" w:sz="4" w:space="0" w:color="126AF3" w:themeColor="accent2"/>
        <w:insideH w:val="single" w:sz="4" w:space="0" w:color="126AF3" w:themeColor="accent2"/>
        <w:insideV w:val="single" w:sz="4" w:space="0" w:color="126AF3" w:themeColor="accent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rPr>
        <w:rFonts w:ascii="Calibri" w:hAnsi="Calibri"/>
        <w:b/>
        <w:color w:val="11497B" w:themeColor="accent1"/>
        <w:sz w:val="24"/>
      </w:rPr>
      <w:tblPr/>
      <w:tcPr>
        <w:shd w:val="clear" w:color="auto" w:fill="DAEDFF" w:themeFill="accent3" w:themeFillTint="33"/>
      </w:tcPr>
    </w:tblStylePr>
  </w:style>
  <w:style w:type="table" w:customStyle="1" w:styleId="TabelGrundfos2">
    <w:name w:val="TabelGrundfos2"/>
    <w:basedOn w:val="TableNormal"/>
    <w:uiPriority w:val="99"/>
    <w:rsid w:val="00F20B96"/>
    <w:rPr>
      <w:rFonts w:ascii="Calibri" w:hAnsi="Calibri"/>
      <w:sz w:val="24"/>
    </w:rPr>
    <w:tblPr>
      <w:tblStyleRowBandSize w:val="1"/>
      <w:tblBorders>
        <w:top w:val="single" w:sz="4" w:space="0" w:color="126AF3" w:themeColor="accent2"/>
        <w:bottom w:val="single" w:sz="4" w:space="0" w:color="126AF3" w:themeColor="accent2"/>
        <w:insideH w:val="single" w:sz="4" w:space="0" w:color="126AF3" w:themeColor="accent2"/>
        <w:insideV w:val="single" w:sz="4" w:space="0" w:color="126AF3" w:themeColor="accent2"/>
      </w:tblBorders>
      <w:tblCellMar>
        <w:top w:w="108" w:type="dxa"/>
        <w:bottom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126AF3" w:themeFill="accent2"/>
      </w:tcPr>
    </w:tblStylePr>
  </w:style>
  <w:style w:type="table" w:customStyle="1" w:styleId="TabelGrundfos3">
    <w:name w:val="TabelGrundfos3"/>
    <w:basedOn w:val="TableNormal"/>
    <w:uiPriority w:val="99"/>
    <w:rsid w:val="002F2C6A"/>
    <w:rPr>
      <w:rFonts w:ascii="Calibri" w:hAnsi="Calibri"/>
    </w:rPr>
    <w:tblPr>
      <w:tblBorders>
        <w:top w:val="single" w:sz="4" w:space="0" w:color="11497B" w:themeColor="accent1"/>
        <w:bottom w:val="single" w:sz="4" w:space="0" w:color="11497B" w:themeColor="accent1"/>
        <w:insideH w:val="single" w:sz="4" w:space="0" w:color="11497B" w:themeColor="accent1"/>
        <w:insideV w:val="single" w:sz="4" w:space="0" w:color="11497B" w:themeColor="accent1"/>
      </w:tblBorders>
      <w:tblCellMar>
        <w:top w:w="108" w:type="dxa"/>
        <w:bottom w:w="108" w:type="dxa"/>
      </w:tblCellMar>
    </w:tblPr>
    <w:tblStylePr w:type="firstRow">
      <w:rPr>
        <w:b/>
        <w:color w:val="11497B" w:themeColor="accent1"/>
      </w:rPr>
      <w:tblPr>
        <w:tblCellMar>
          <w:top w:w="108" w:type="dxa"/>
          <w:left w:w="108" w:type="dxa"/>
          <w:bottom w:w="108" w:type="dxa"/>
          <w:right w:w="108" w:type="dxa"/>
        </w:tblCellMar>
      </w:tblPr>
      <w:tcPr>
        <w:shd w:val="clear" w:color="auto" w:fill="E9F1F7" w:themeFill="text2"/>
      </w:tcPr>
    </w:tblStylePr>
  </w:style>
  <w:style w:type="table" w:customStyle="1" w:styleId="TabelGrundfos4">
    <w:name w:val="TabelGrundfos4"/>
    <w:basedOn w:val="TableNormal"/>
    <w:uiPriority w:val="99"/>
    <w:rsid w:val="00D16A3F"/>
    <w:rPr>
      <w:rFonts w:ascii="Calibri" w:hAnsi="Calibri"/>
      <w:sz w:val="24"/>
    </w:rPr>
    <w:tblPr>
      <w:tblBorders>
        <w:top w:val="single" w:sz="4" w:space="0" w:color="11497B" w:themeColor="accent1"/>
        <w:bottom w:val="single" w:sz="4" w:space="0" w:color="11497B" w:themeColor="accent1"/>
        <w:insideH w:val="single" w:sz="4" w:space="0" w:color="11497B" w:themeColor="accent1"/>
        <w:insideV w:val="single" w:sz="4" w:space="0" w:color="11497B" w:themeColor="accent1"/>
      </w:tblBorders>
      <w:tblCellMar>
        <w:top w:w="108" w:type="dxa"/>
        <w:bottom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11497B" w:themeFill="accent1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976D4E"/>
    <w:pPr>
      <w:tabs>
        <w:tab w:val="right" w:leader="dot" w:pos="6804"/>
        <w:tab w:val="right" w:leader="dot" w:pos="9639"/>
      </w:tabs>
      <w:spacing w:after="100" w:line="240" w:lineRule="auto"/>
    </w:pPr>
    <w:rPr>
      <w:rFonts w:ascii="Calibri" w:eastAsia="Times New Roman" w:hAnsi="Calibri" w:cs="Times New Roman"/>
      <w:kern w:val="0"/>
      <w:sz w:val="24"/>
      <w:szCs w:val="24"/>
      <w:lang w:val="en-GB" w:eastAsia="da-DK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012EB4"/>
    <w:pPr>
      <w:tabs>
        <w:tab w:val="right" w:leader="dot" w:pos="6804"/>
        <w:tab w:val="right" w:leader="dot" w:pos="9639"/>
      </w:tabs>
      <w:spacing w:after="100" w:line="240" w:lineRule="auto"/>
      <w:ind w:left="240"/>
    </w:pPr>
    <w:rPr>
      <w:rFonts w:ascii="Calibri" w:eastAsia="Times New Roman" w:hAnsi="Calibri" w:cs="Times New Roman"/>
      <w:kern w:val="0"/>
      <w:sz w:val="24"/>
      <w:szCs w:val="24"/>
      <w:lang w:val="en-GB" w:eastAsia="da-DK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7C628A"/>
    <w:pPr>
      <w:tabs>
        <w:tab w:val="right" w:leader="dot" w:pos="6804"/>
        <w:tab w:val="right" w:leader="dot" w:pos="9639"/>
      </w:tabs>
      <w:spacing w:after="100" w:line="240" w:lineRule="auto"/>
      <w:ind w:left="480"/>
    </w:pPr>
    <w:rPr>
      <w:rFonts w:ascii="Calibri" w:eastAsia="Times New Roman" w:hAnsi="Calibri" w:cs="Times New Roman"/>
      <w:kern w:val="0"/>
      <w:sz w:val="24"/>
      <w:szCs w:val="24"/>
      <w:lang w:val="en-GB" w:eastAsia="da-DK"/>
      <w14:ligatures w14:val="none"/>
    </w:rPr>
  </w:style>
  <w:style w:type="character" w:styleId="Hyperlink">
    <w:name w:val="Hyperlink"/>
    <w:basedOn w:val="DefaultParagraphFont"/>
    <w:uiPriority w:val="99"/>
    <w:unhideWhenUsed/>
    <w:rsid w:val="004C4081"/>
    <w:rPr>
      <w:color w:val="126AF3" w:themeColor="accent2"/>
      <w:u w:val="single"/>
    </w:rPr>
  </w:style>
  <w:style w:type="paragraph" w:customStyle="1" w:styleId="StyleBottomSinglesolidlineAccent2025ptLinewidth">
    <w:name w:val="Style Bottom: (Single solid line Accent 2  025 pt Line width)"/>
    <w:basedOn w:val="Normal"/>
    <w:rsid w:val="002B24D6"/>
    <w:pPr>
      <w:pBdr>
        <w:bottom w:val="single" w:sz="2" w:space="1" w:color="126AF3" w:themeColor="accent2"/>
      </w:pBdr>
      <w:spacing w:after="0" w:line="240" w:lineRule="auto"/>
    </w:pPr>
    <w:rPr>
      <w:rFonts w:ascii="Calibri" w:eastAsia="Times New Roman" w:hAnsi="Calibri" w:cs="Times New Roman"/>
      <w:color w:val="126AF3" w:themeColor="accent2"/>
      <w:kern w:val="0"/>
      <w:sz w:val="24"/>
      <w:szCs w:val="20"/>
      <w:lang w:val="en-GB" w:eastAsia="da-DK"/>
      <w14:ligatures w14:val="none"/>
    </w:rPr>
  </w:style>
  <w:style w:type="numbering" w:customStyle="1" w:styleId="GFstylebullet">
    <w:name w:val="GF style bullet"/>
    <w:uiPriority w:val="99"/>
    <w:rsid w:val="002F0E1A"/>
    <w:pPr>
      <w:numPr>
        <w:numId w:val="25"/>
      </w:numPr>
    </w:pPr>
  </w:style>
  <w:style w:type="character" w:styleId="FollowedHyperlink">
    <w:name w:val="FollowedHyperlink"/>
    <w:basedOn w:val="DefaultParagraphFont"/>
    <w:semiHidden/>
    <w:unhideWhenUsed/>
    <w:rsid w:val="00AE1299"/>
    <w:rPr>
      <w:color w:val="126AF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04A4"/>
    <w:rPr>
      <w:sz w:val="16"/>
      <w:szCs w:val="16"/>
    </w:rPr>
  </w:style>
  <w:style w:type="table" w:styleId="GridTable6Colorful-Accent1">
    <w:name w:val="Grid Table 6 Colorful Accent 1"/>
    <w:basedOn w:val="TableNormal"/>
    <w:uiPriority w:val="51"/>
    <w:rsid w:val="008004A4"/>
    <w:rPr>
      <w:rFonts w:asciiTheme="minorHAnsi" w:eastAsiaTheme="minorEastAsia" w:hAnsiTheme="minorHAnsi" w:cstheme="minorBidi"/>
      <w:color w:val="0C365B" w:themeColor="accent1" w:themeShade="BF"/>
      <w:kern w:val="2"/>
      <w:sz w:val="24"/>
      <w:szCs w:val="24"/>
      <w:lang w:eastAsia="ja-JP"/>
      <w14:ligatures w14:val="standardContextual"/>
    </w:rPr>
    <w:tblPr>
      <w:tblStyleRowBandSize w:val="1"/>
      <w:tblStyleColBandSize w:val="1"/>
      <w:tblBorders>
        <w:top w:val="single" w:sz="4" w:space="0" w:color="3B94E4" w:themeColor="accent1" w:themeTint="99"/>
        <w:left w:val="single" w:sz="4" w:space="0" w:color="3B94E4" w:themeColor="accent1" w:themeTint="99"/>
        <w:bottom w:val="single" w:sz="4" w:space="0" w:color="3B94E4" w:themeColor="accent1" w:themeTint="99"/>
        <w:right w:val="single" w:sz="4" w:space="0" w:color="3B94E4" w:themeColor="accent1" w:themeTint="99"/>
        <w:insideH w:val="single" w:sz="4" w:space="0" w:color="3B94E4" w:themeColor="accent1" w:themeTint="99"/>
        <w:insideV w:val="single" w:sz="4" w:space="0" w:color="3B94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B94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B94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BF6" w:themeFill="accent1" w:themeFillTint="33"/>
      </w:tcPr>
    </w:tblStylePr>
    <w:tblStylePr w:type="band1Horz">
      <w:tblPr/>
      <w:tcPr>
        <w:shd w:val="clear" w:color="auto" w:fill="BDDBF6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33B3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C08"/>
    <w:pPr>
      <w:spacing w:after="0" w:line="240" w:lineRule="auto"/>
    </w:pPr>
    <w:rPr>
      <w:rFonts w:ascii="Figtree" w:eastAsia="Figtree" w:hAnsi="Figtree" w:cs="Figtree"/>
      <w:color w:val="0F2C3D"/>
      <w:kern w:val="0"/>
      <w:sz w:val="20"/>
      <w:lang w:val="en-IE" w:eastAsia="ja-JP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C08"/>
    <w:rPr>
      <w:rFonts w:ascii="Figtree" w:eastAsia="Figtree" w:hAnsi="Figtree" w:cs="Figtree"/>
      <w:color w:val="0F2C3D"/>
      <w:szCs w:val="22"/>
      <w:lang w:val="en-IE" w:eastAsia="ja-JP"/>
    </w:rPr>
  </w:style>
  <w:style w:type="character" w:styleId="FootnoteReference">
    <w:name w:val="footnote reference"/>
    <w:basedOn w:val="DefaultParagraphFont"/>
    <w:uiPriority w:val="99"/>
    <w:unhideWhenUsed/>
    <w:rsid w:val="00DF7C08"/>
    <w:rPr>
      <w:vertAlign w:val="superscript"/>
    </w:rPr>
  </w:style>
  <w:style w:type="character" w:customStyle="1" w:styleId="s1">
    <w:name w:val="s1"/>
    <w:basedOn w:val="DefaultParagraphFont"/>
    <w:rsid w:val="00D0250E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paragraph" w:customStyle="1" w:styleId="paragraph">
    <w:name w:val="paragraph"/>
    <w:basedOn w:val="Normal"/>
    <w:rsid w:val="0091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  <w:style w:type="character" w:customStyle="1" w:styleId="normaltextrun">
    <w:name w:val="normaltextrun"/>
    <w:basedOn w:val="DefaultParagraphFont"/>
    <w:rsid w:val="00917AF1"/>
  </w:style>
  <w:style w:type="character" w:customStyle="1" w:styleId="eop">
    <w:name w:val="eop"/>
    <w:basedOn w:val="DefaultParagraphFont"/>
    <w:rsid w:val="00917AF1"/>
  </w:style>
  <w:style w:type="paragraph" w:styleId="NormalWeb">
    <w:name w:val="Normal (Web)"/>
    <w:basedOn w:val="Normal"/>
    <w:uiPriority w:val="99"/>
    <w:unhideWhenUsed/>
    <w:rsid w:val="0009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rundfos.com/press-offi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rundfos.com/press-k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rundfos.com/new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3063\Downloads\Grundfos%20A4%20Logo%20Top.dotx" TargetMode="External"/></Relationships>
</file>

<file path=word/theme/theme1.xml><?xml version="1.0" encoding="utf-8"?>
<a:theme xmlns:a="http://schemas.openxmlformats.org/drawingml/2006/main" name="Grundfos_Word_Design">
  <a:themeElements>
    <a:clrScheme name="GF Colours Word 01">
      <a:dk1>
        <a:srgbClr val="000000"/>
      </a:dk1>
      <a:lt1>
        <a:srgbClr val="FFFFFF"/>
      </a:lt1>
      <a:dk2>
        <a:srgbClr val="E9F1F7"/>
      </a:dk2>
      <a:lt2>
        <a:srgbClr val="7497B2"/>
      </a:lt2>
      <a:accent1>
        <a:srgbClr val="11497B"/>
      </a:accent1>
      <a:accent2>
        <a:srgbClr val="126AF3"/>
      </a:accent2>
      <a:accent3>
        <a:srgbClr val="47A6FF"/>
      </a:accent3>
      <a:accent4>
        <a:srgbClr val="092844"/>
      </a:accent4>
      <a:accent5>
        <a:srgbClr val="E3C181"/>
      </a:accent5>
      <a:accent6>
        <a:srgbClr val="F0DDBA"/>
      </a:accent6>
      <a:hlink>
        <a:srgbClr val="126AF3"/>
      </a:hlink>
      <a:folHlink>
        <a:srgbClr val="126AF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c0594-626e-4695-8c62-e9ab98e0866f" xsi:nil="true"/>
    <lcf76f155ced4ddcb4097134ff3c332f xmlns="56cee835-4280-4b08-8fc1-d1afae988c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C9B8E9D9E86D40AF6A2D2C9426E89E" ma:contentTypeVersion="12" ma:contentTypeDescription="Create a new document." ma:contentTypeScope="" ma:versionID="21b467e7dc52968958c8147777ba66f9">
  <xsd:schema xmlns:xsd="http://www.w3.org/2001/XMLSchema" xmlns:xs="http://www.w3.org/2001/XMLSchema" xmlns:p="http://schemas.microsoft.com/office/2006/metadata/properties" xmlns:ns2="56cee835-4280-4b08-8fc1-d1afae988c22" xmlns:ns3="efac0594-626e-4695-8c62-e9ab98e0866f" targetNamespace="http://schemas.microsoft.com/office/2006/metadata/properties" ma:root="true" ma:fieldsID="afce57dbb0493c3f79fe58557091ef22" ns2:_="" ns3:_="">
    <xsd:import namespace="56cee835-4280-4b08-8fc1-d1afae988c22"/>
    <xsd:import namespace="efac0594-626e-4695-8c62-e9ab98e08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ee835-4280-4b08-8fc1-d1afae988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24f276-14dc-4e54-a0cf-bc34c614c5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c0594-626e-4695-8c62-e9ab98e086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690695-4504-4f71-9dc8-e89720629ff4}" ma:internalName="TaxCatchAll" ma:showField="CatchAllData" ma:web="efac0594-626e-4695-8c62-e9ab98e08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DF3C3-3C61-4A57-AFD6-82AF1EE7F2F2}">
  <ds:schemaRefs>
    <ds:schemaRef ds:uri="http://schemas.microsoft.com/office/2006/metadata/properties"/>
    <ds:schemaRef ds:uri="http://schemas.microsoft.com/office/infopath/2007/PartnerControls"/>
    <ds:schemaRef ds:uri="efac0594-626e-4695-8c62-e9ab98e0866f"/>
    <ds:schemaRef ds:uri="56cee835-4280-4b08-8fc1-d1afae988c22"/>
  </ds:schemaRefs>
</ds:datastoreItem>
</file>

<file path=customXml/itemProps2.xml><?xml version="1.0" encoding="utf-8"?>
<ds:datastoreItem xmlns:ds="http://schemas.openxmlformats.org/officeDocument/2006/customXml" ds:itemID="{289CECE3-55E1-46A5-B040-D557026A7F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89C85-8BDA-4661-AC0A-79D9896D9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ee835-4280-4b08-8fc1-d1afae988c22"/>
    <ds:schemaRef ds:uri="efac0594-626e-4695-8c62-e9ab98e08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526712-EE87-47FF-BE93-B575C9BE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Grundfos A4 Logo Top</Template>
  <TotalTime>0</TotalTime>
  <Pages>2</Pages>
  <Words>554</Words>
  <Characters>3136</Characters>
  <Application>Microsoft Office Word</Application>
  <DocSecurity>8</DocSecurity>
  <Lines>58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Word document A4 - Logo top</vt:lpstr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document A4 - Logo top</dc:title>
  <dc:creator>Catalin Ciprian Kádár</dc:creator>
  <cp:lastModifiedBy>Carina Achton Nielsen</cp:lastModifiedBy>
  <cp:revision>2</cp:revision>
  <cp:lastPrinted>2012-08-31T11:50:00Z</cp:lastPrinted>
  <dcterms:created xsi:type="dcterms:W3CDTF">2026-08-18T11:43:00Z</dcterms:created>
  <dcterms:modified xsi:type="dcterms:W3CDTF">2026-08-18T11:43:00Z</dcterms:modified>
  <cp:category>2023 Blank Top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Blank</vt:lpwstr>
  </property>
  <property fmtid="{D5CDD505-2E9C-101B-9397-08002B2CF9AE}" pid="3" name="MediaServiceImageTags">
    <vt:lpwstr/>
  </property>
  <property fmtid="{D5CDD505-2E9C-101B-9397-08002B2CF9AE}" pid="4" name="ContentTypeId">
    <vt:lpwstr>0x010100C1C9B8E9D9E86D40AF6A2D2C9426E89E</vt:lpwstr>
  </property>
  <property fmtid="{D5CDD505-2E9C-101B-9397-08002B2CF9AE}" pid="5" name="MMElement">
    <vt:lpwstr/>
  </property>
  <property fmtid="{D5CDD505-2E9C-101B-9397-08002B2CF9AE}" pid="6" name="MMScreenOrPrint">
    <vt:lpwstr/>
  </property>
  <property fmtid="{D5CDD505-2E9C-101B-9397-08002B2CF9AE}" pid="7" name="MMVariant">
    <vt:lpwstr/>
  </property>
  <property fmtid="{D5CDD505-2E9C-101B-9397-08002B2CF9AE}" pid="8" name="MMFileType">
    <vt:lpwstr/>
  </property>
  <property fmtid="{D5CDD505-2E9C-101B-9397-08002B2CF9AE}" pid="9" name="MMLogoColour">
    <vt:lpwstr/>
  </property>
  <property fmtid="{D5CDD505-2E9C-101B-9397-08002B2CF9AE}" pid="10" name="MMNavigation">
    <vt:lpwstr/>
  </property>
</Properties>
</file>