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D1D75" w14:textId="7969254B" w:rsidR="00093662" w:rsidRDefault="00093662" w:rsidP="00093662">
      <w:pPr>
        <w:pStyle w:val="Heading1"/>
        <w:jc w:val="center"/>
        <w:rPr>
          <w:sz w:val="24"/>
        </w:rPr>
      </w:pPr>
      <w:r>
        <w:rPr>
          <w:sz w:val="24"/>
        </w:rPr>
        <w:t xml:space="preserve">General </w:t>
      </w:r>
      <w:r w:rsidR="004B6A46">
        <w:rPr>
          <w:sz w:val="24"/>
        </w:rPr>
        <w:t>Risk Assessment</w:t>
      </w:r>
      <w:r>
        <w:rPr>
          <w:sz w:val="24"/>
        </w:rPr>
        <w:t>: Grundfos Business activities</w:t>
      </w:r>
    </w:p>
    <w:p w14:paraId="5522C62E" w14:textId="6D629132" w:rsidR="003621B3" w:rsidRPr="00093662" w:rsidRDefault="00093662" w:rsidP="00093662">
      <w:pPr>
        <w:pStyle w:val="Heading1"/>
        <w:jc w:val="center"/>
        <w:rPr>
          <w:sz w:val="24"/>
        </w:rPr>
      </w:pPr>
      <w:r>
        <w:rPr>
          <w:sz w:val="24"/>
        </w:rPr>
        <w:t>(non-Grundfos premises)</w:t>
      </w:r>
    </w:p>
    <w:tbl>
      <w:tblPr>
        <w:tblStyle w:val="PlainTable2"/>
        <w:tblW w:w="0" w:type="auto"/>
        <w:tblLook w:val="04A0" w:firstRow="1" w:lastRow="0" w:firstColumn="1" w:lastColumn="0" w:noHBand="0" w:noVBand="1"/>
      </w:tblPr>
      <w:tblGrid>
        <w:gridCol w:w="2977"/>
        <w:gridCol w:w="6345"/>
      </w:tblGrid>
      <w:tr w:rsidR="009D53C1" w:rsidRPr="00D0086A" w14:paraId="1F873D2E" w14:textId="77777777" w:rsidTr="00C163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2"/>
          </w:tcPr>
          <w:p w14:paraId="3219B6D1" w14:textId="459F6E26" w:rsidR="009D53C1" w:rsidRPr="00D0086A" w:rsidRDefault="009D53C1" w:rsidP="00093662">
            <w:pPr>
              <w:pStyle w:val="Heading1"/>
              <w:outlineLvl w:val="0"/>
              <w:rPr>
                <w:sz w:val="20"/>
                <w:szCs w:val="20"/>
              </w:rPr>
            </w:pPr>
            <w:r>
              <w:rPr>
                <w:sz w:val="20"/>
                <w:szCs w:val="20"/>
              </w:rPr>
              <w:t xml:space="preserve">Persons </w:t>
            </w:r>
            <w:r w:rsidR="00565A0C">
              <w:rPr>
                <w:sz w:val="20"/>
                <w:szCs w:val="20"/>
              </w:rPr>
              <w:t>Affected</w:t>
            </w:r>
            <w:r w:rsidR="00093662">
              <w:rPr>
                <w:sz w:val="20"/>
                <w:szCs w:val="20"/>
              </w:rPr>
              <w:t xml:space="preserve">: </w:t>
            </w:r>
          </w:p>
        </w:tc>
      </w:tr>
      <w:tr w:rsidR="009D53C1" w:rsidRPr="00D0086A" w14:paraId="77EA2A5C" w14:textId="77777777" w:rsidTr="00994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2242CB9B" w14:textId="5F187DCF" w:rsidR="009D53C1" w:rsidRPr="00D0086A" w:rsidRDefault="00AA7B92" w:rsidP="00AA7B92">
            <w:pPr>
              <w:rPr>
                <w:sz w:val="20"/>
              </w:rPr>
            </w:pPr>
            <w:r>
              <w:rPr>
                <w:sz w:val="20"/>
              </w:rPr>
              <w:t>GS Engineers</w:t>
            </w:r>
            <w:r w:rsidR="00093662">
              <w:rPr>
                <w:sz w:val="20"/>
              </w:rPr>
              <w:t>/Project Managers/other site based employees</w:t>
            </w:r>
          </w:p>
        </w:tc>
        <w:tc>
          <w:tcPr>
            <w:tcW w:w="6345" w:type="dxa"/>
          </w:tcPr>
          <w:p w14:paraId="7789AE21" w14:textId="2952F903" w:rsidR="00093662" w:rsidRPr="00D0086A" w:rsidRDefault="00093662" w:rsidP="00C16395">
            <w:pPr>
              <w:cnfStyle w:val="000000100000" w:firstRow="0" w:lastRow="0" w:firstColumn="0" w:lastColumn="0" w:oddVBand="0" w:evenVBand="0" w:oddHBand="1" w:evenHBand="0" w:firstRowFirstColumn="0" w:firstRowLastColumn="0" w:lastRowFirstColumn="0" w:lastRowLastColumn="0"/>
              <w:rPr>
                <w:sz w:val="20"/>
              </w:rPr>
            </w:pPr>
            <w:r>
              <w:rPr>
                <w:sz w:val="20"/>
              </w:rPr>
              <w:t>125+</w:t>
            </w:r>
          </w:p>
        </w:tc>
      </w:tr>
      <w:tr w:rsidR="00093662" w:rsidRPr="00D0086A" w14:paraId="3FBB0250" w14:textId="77777777" w:rsidTr="00994C30">
        <w:tc>
          <w:tcPr>
            <w:cnfStyle w:val="001000000000" w:firstRow="0" w:lastRow="0" w:firstColumn="1" w:lastColumn="0" w:oddVBand="0" w:evenVBand="0" w:oddHBand="0" w:evenHBand="0" w:firstRowFirstColumn="0" w:firstRowLastColumn="0" w:lastRowFirstColumn="0" w:lastRowLastColumn="0"/>
            <w:tcW w:w="2977" w:type="dxa"/>
          </w:tcPr>
          <w:p w14:paraId="031FEE25" w14:textId="52BB575E" w:rsidR="00093662" w:rsidRDefault="00093662" w:rsidP="00C16395">
            <w:pPr>
              <w:rPr>
                <w:sz w:val="20"/>
              </w:rPr>
            </w:pPr>
            <w:r>
              <w:rPr>
                <w:sz w:val="20"/>
              </w:rPr>
              <w:t>Employee Families/other contacts non-Grundfos</w:t>
            </w:r>
          </w:p>
        </w:tc>
        <w:tc>
          <w:tcPr>
            <w:tcW w:w="6345" w:type="dxa"/>
          </w:tcPr>
          <w:p w14:paraId="7AFFBB22" w14:textId="3FFFA896" w:rsidR="00093662" w:rsidRDefault="00093662" w:rsidP="00C16395">
            <w:pPr>
              <w:cnfStyle w:val="000000000000" w:firstRow="0" w:lastRow="0" w:firstColumn="0" w:lastColumn="0" w:oddVBand="0" w:evenVBand="0" w:oddHBand="0" w:evenHBand="0" w:firstRowFirstColumn="0" w:firstRowLastColumn="0" w:lastRowFirstColumn="0" w:lastRowLastColumn="0"/>
              <w:rPr>
                <w:sz w:val="20"/>
              </w:rPr>
            </w:pPr>
            <w:r>
              <w:rPr>
                <w:sz w:val="20"/>
              </w:rPr>
              <w:t>Unknown</w:t>
            </w:r>
          </w:p>
        </w:tc>
      </w:tr>
      <w:tr w:rsidR="009D53C1" w:rsidRPr="00D0086A" w14:paraId="69314261" w14:textId="77777777" w:rsidTr="00994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6D680DB8" w14:textId="77777777" w:rsidR="009D53C1" w:rsidRPr="00D0086A" w:rsidRDefault="003D1501" w:rsidP="00C16395">
            <w:pPr>
              <w:rPr>
                <w:sz w:val="20"/>
              </w:rPr>
            </w:pPr>
            <w:r>
              <w:rPr>
                <w:sz w:val="20"/>
              </w:rPr>
              <w:t>Client</w:t>
            </w:r>
            <w:r w:rsidR="009D53C1">
              <w:rPr>
                <w:sz w:val="20"/>
              </w:rPr>
              <w:t xml:space="preserve"> Staff</w:t>
            </w:r>
          </w:p>
        </w:tc>
        <w:tc>
          <w:tcPr>
            <w:tcW w:w="6345" w:type="dxa"/>
          </w:tcPr>
          <w:p w14:paraId="4BE34740" w14:textId="77777777" w:rsidR="009D53C1" w:rsidRPr="00D0086A" w:rsidRDefault="00E558C6" w:rsidP="00C16395">
            <w:pPr>
              <w:cnfStyle w:val="000000100000" w:firstRow="0" w:lastRow="0" w:firstColumn="0" w:lastColumn="0" w:oddVBand="0" w:evenVBand="0" w:oddHBand="1" w:evenHBand="0" w:firstRowFirstColumn="0" w:firstRowLastColumn="0" w:lastRowFirstColumn="0" w:lastRowLastColumn="0"/>
              <w:rPr>
                <w:sz w:val="20"/>
              </w:rPr>
            </w:pPr>
            <w:r>
              <w:rPr>
                <w:sz w:val="20"/>
              </w:rPr>
              <w:t>Unknown</w:t>
            </w:r>
          </w:p>
        </w:tc>
      </w:tr>
      <w:tr w:rsidR="009D53C1" w:rsidRPr="00D0086A" w14:paraId="0B14B116" w14:textId="77777777" w:rsidTr="00994C30">
        <w:tc>
          <w:tcPr>
            <w:cnfStyle w:val="001000000000" w:firstRow="0" w:lastRow="0" w:firstColumn="1" w:lastColumn="0" w:oddVBand="0" w:evenVBand="0" w:oddHBand="0" w:evenHBand="0" w:firstRowFirstColumn="0" w:firstRowLastColumn="0" w:lastRowFirstColumn="0" w:lastRowLastColumn="0"/>
            <w:tcW w:w="2977" w:type="dxa"/>
          </w:tcPr>
          <w:p w14:paraId="21CC852B" w14:textId="77777777" w:rsidR="009D53C1" w:rsidRPr="00D0086A" w:rsidRDefault="001724CB" w:rsidP="00C16395">
            <w:pPr>
              <w:rPr>
                <w:sz w:val="20"/>
              </w:rPr>
            </w:pPr>
            <w:r>
              <w:rPr>
                <w:sz w:val="20"/>
              </w:rPr>
              <w:t>3</w:t>
            </w:r>
            <w:r w:rsidRPr="001724CB">
              <w:rPr>
                <w:sz w:val="20"/>
                <w:vertAlign w:val="superscript"/>
              </w:rPr>
              <w:t>rd</w:t>
            </w:r>
            <w:r>
              <w:rPr>
                <w:sz w:val="20"/>
              </w:rPr>
              <w:t xml:space="preserve"> Parties</w:t>
            </w:r>
          </w:p>
        </w:tc>
        <w:tc>
          <w:tcPr>
            <w:tcW w:w="6345" w:type="dxa"/>
          </w:tcPr>
          <w:p w14:paraId="3E1D74C0" w14:textId="77777777" w:rsidR="009D53C1" w:rsidRPr="00D0086A" w:rsidRDefault="00E558C6" w:rsidP="00C16395">
            <w:pPr>
              <w:cnfStyle w:val="000000000000" w:firstRow="0" w:lastRow="0" w:firstColumn="0" w:lastColumn="0" w:oddVBand="0" w:evenVBand="0" w:oddHBand="0" w:evenHBand="0" w:firstRowFirstColumn="0" w:firstRowLastColumn="0" w:lastRowFirstColumn="0" w:lastRowLastColumn="0"/>
              <w:rPr>
                <w:sz w:val="20"/>
              </w:rPr>
            </w:pPr>
            <w:r>
              <w:rPr>
                <w:sz w:val="20"/>
              </w:rPr>
              <w:t>Unknown</w:t>
            </w:r>
          </w:p>
        </w:tc>
      </w:tr>
      <w:tr w:rsidR="00E476CA" w:rsidRPr="00D0086A" w14:paraId="6136A377" w14:textId="77777777" w:rsidTr="00994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14:paraId="33DA4979" w14:textId="77777777" w:rsidR="00E476CA" w:rsidRDefault="00E476CA" w:rsidP="00C16395">
            <w:pPr>
              <w:rPr>
                <w:sz w:val="20"/>
              </w:rPr>
            </w:pPr>
            <w:r>
              <w:rPr>
                <w:sz w:val="20"/>
              </w:rPr>
              <w:t>General Public</w:t>
            </w:r>
          </w:p>
        </w:tc>
        <w:tc>
          <w:tcPr>
            <w:tcW w:w="6345" w:type="dxa"/>
          </w:tcPr>
          <w:p w14:paraId="58416E70" w14:textId="77777777" w:rsidR="00E476CA" w:rsidRDefault="00E476CA" w:rsidP="00C16395">
            <w:pPr>
              <w:cnfStyle w:val="000000100000" w:firstRow="0" w:lastRow="0" w:firstColumn="0" w:lastColumn="0" w:oddVBand="0" w:evenVBand="0" w:oddHBand="1" w:evenHBand="0" w:firstRowFirstColumn="0" w:firstRowLastColumn="0" w:lastRowFirstColumn="0" w:lastRowLastColumn="0"/>
              <w:rPr>
                <w:sz w:val="20"/>
              </w:rPr>
            </w:pPr>
            <w:r>
              <w:rPr>
                <w:sz w:val="20"/>
              </w:rPr>
              <w:t>Unknown</w:t>
            </w:r>
          </w:p>
        </w:tc>
      </w:tr>
    </w:tbl>
    <w:p w14:paraId="66FCA7CF" w14:textId="77777777" w:rsidR="00FC475F" w:rsidRDefault="00FC475F" w:rsidP="006525D8">
      <w:pPr>
        <w:rPr>
          <w:sz w:val="20"/>
        </w:rPr>
      </w:pPr>
    </w:p>
    <w:p w14:paraId="05BE9402" w14:textId="77777777" w:rsidR="00FC475F" w:rsidRDefault="00FC475F" w:rsidP="006525D8">
      <w:pPr>
        <w:rPr>
          <w:sz w:val="20"/>
        </w:rPr>
      </w:pPr>
      <w:r>
        <w:rPr>
          <w:sz w:val="20"/>
        </w:rPr>
        <w:t>In the table below the risk value is calculated as follows:</w:t>
      </w:r>
    </w:p>
    <w:p w14:paraId="7B40C21A" w14:textId="77777777" w:rsidR="00FC475F" w:rsidRDefault="00FC475F" w:rsidP="00FC475F">
      <w:pPr>
        <w:jc w:val="center"/>
        <w:rPr>
          <w:sz w:val="20"/>
        </w:rPr>
      </w:pPr>
    </w:p>
    <w:p w14:paraId="7E63542E" w14:textId="77777777" w:rsidR="00FC475F" w:rsidRDefault="00FC475F" w:rsidP="00FC475F">
      <w:pPr>
        <w:jc w:val="center"/>
        <w:rPr>
          <w:i/>
          <w:sz w:val="20"/>
        </w:rPr>
      </w:pPr>
      <w:r>
        <w:rPr>
          <w:i/>
          <w:sz w:val="20"/>
        </w:rPr>
        <w:t>Risk = Likelihood x Severity</w:t>
      </w:r>
    </w:p>
    <w:p w14:paraId="43A168EA" w14:textId="77777777" w:rsidR="00222DE0" w:rsidRDefault="00222DE0" w:rsidP="00222DE0">
      <w:pPr>
        <w:rPr>
          <w:sz w:val="20"/>
        </w:rPr>
      </w:pPr>
    </w:p>
    <w:p w14:paraId="2242AAC2" w14:textId="77777777" w:rsidR="00222DE0" w:rsidRDefault="00222DE0" w:rsidP="00222DE0">
      <w:pPr>
        <w:rPr>
          <w:sz w:val="20"/>
        </w:rPr>
      </w:pPr>
      <w:r>
        <w:rPr>
          <w:sz w:val="20"/>
        </w:rPr>
        <w:t>The values obtained are coloured and rated as follows:</w:t>
      </w:r>
    </w:p>
    <w:p w14:paraId="729D8E78" w14:textId="77777777" w:rsidR="00222DE0" w:rsidRDefault="00222DE0" w:rsidP="00222DE0">
      <w:pPr>
        <w:rPr>
          <w:sz w:val="20"/>
        </w:rPr>
      </w:pPr>
    </w:p>
    <w:tbl>
      <w:tblPr>
        <w:tblStyle w:val="PlainTable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562"/>
        <w:gridCol w:w="1701"/>
        <w:gridCol w:w="5809"/>
      </w:tblGrid>
      <w:tr w:rsidR="00DB2564" w:rsidRPr="00D0086A" w14:paraId="4DDD6C04" w14:textId="77777777" w:rsidTr="00805D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4"/>
            <w:tcBorders>
              <w:bottom w:val="none" w:sz="0" w:space="0" w:color="auto"/>
            </w:tcBorders>
          </w:tcPr>
          <w:p w14:paraId="216F8210" w14:textId="77777777" w:rsidR="00DB2564" w:rsidRDefault="00DB2564" w:rsidP="00E72380">
            <w:pPr>
              <w:pStyle w:val="Heading1"/>
              <w:jc w:val="center"/>
              <w:outlineLvl w:val="0"/>
              <w:rPr>
                <w:sz w:val="20"/>
                <w:szCs w:val="20"/>
              </w:rPr>
            </w:pPr>
            <w:r>
              <w:rPr>
                <w:sz w:val="20"/>
                <w:szCs w:val="20"/>
              </w:rPr>
              <w:t>Risk Assessment Matrix</w:t>
            </w:r>
          </w:p>
        </w:tc>
      </w:tr>
      <w:tr w:rsidR="00DB2564" w:rsidRPr="00D0086A" w14:paraId="368AA7A4" w14:textId="77777777" w:rsidTr="00805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top w:val="none" w:sz="0" w:space="0" w:color="auto"/>
              <w:bottom w:val="none" w:sz="0" w:space="0" w:color="auto"/>
            </w:tcBorders>
            <w:shd w:val="clear" w:color="auto" w:fill="00FF00"/>
          </w:tcPr>
          <w:p w14:paraId="4285A4E1" w14:textId="77777777" w:rsidR="00DB2564" w:rsidRPr="00D0086A" w:rsidRDefault="00DB2564" w:rsidP="00C16395">
            <w:pPr>
              <w:rPr>
                <w:sz w:val="20"/>
              </w:rPr>
            </w:pPr>
          </w:p>
        </w:tc>
        <w:tc>
          <w:tcPr>
            <w:tcW w:w="1562" w:type="dxa"/>
            <w:tcBorders>
              <w:top w:val="none" w:sz="0" w:space="0" w:color="auto"/>
              <w:bottom w:val="none" w:sz="0" w:space="0" w:color="auto"/>
            </w:tcBorders>
          </w:tcPr>
          <w:p w14:paraId="1C1313E6" w14:textId="77777777" w:rsidR="00DB2564" w:rsidRPr="00D0086A" w:rsidRDefault="00250583" w:rsidP="00C523E8">
            <w:pPr>
              <w:ind w:left="216"/>
              <w:cnfStyle w:val="000000100000" w:firstRow="0" w:lastRow="0" w:firstColumn="0" w:lastColumn="0" w:oddVBand="0" w:evenVBand="0" w:oddHBand="1" w:evenHBand="0" w:firstRowFirstColumn="0" w:firstRowLastColumn="0" w:lastRowFirstColumn="0" w:lastRowLastColumn="0"/>
              <w:rPr>
                <w:sz w:val="20"/>
              </w:rPr>
            </w:pPr>
            <w:r>
              <w:rPr>
                <w:sz w:val="20"/>
              </w:rPr>
              <w:t>1 – 6</w:t>
            </w:r>
          </w:p>
        </w:tc>
        <w:tc>
          <w:tcPr>
            <w:tcW w:w="1701" w:type="dxa"/>
            <w:tcBorders>
              <w:top w:val="none" w:sz="0" w:space="0" w:color="auto"/>
              <w:bottom w:val="none" w:sz="0" w:space="0" w:color="auto"/>
            </w:tcBorders>
          </w:tcPr>
          <w:p w14:paraId="22EF0EF6" w14:textId="77777777" w:rsidR="00DB2564" w:rsidRDefault="00DB2564" w:rsidP="00C16395">
            <w:pPr>
              <w:cnfStyle w:val="000000100000" w:firstRow="0" w:lastRow="0" w:firstColumn="0" w:lastColumn="0" w:oddVBand="0" w:evenVBand="0" w:oddHBand="1" w:evenHBand="0" w:firstRowFirstColumn="0" w:firstRowLastColumn="0" w:lastRowFirstColumn="0" w:lastRowLastColumn="0"/>
              <w:rPr>
                <w:sz w:val="20"/>
              </w:rPr>
            </w:pPr>
            <w:r>
              <w:rPr>
                <w:sz w:val="20"/>
              </w:rPr>
              <w:t>Low priority</w:t>
            </w:r>
          </w:p>
        </w:tc>
        <w:tc>
          <w:tcPr>
            <w:tcW w:w="5809" w:type="dxa"/>
            <w:tcBorders>
              <w:top w:val="none" w:sz="0" w:space="0" w:color="auto"/>
              <w:bottom w:val="none" w:sz="0" w:space="0" w:color="auto"/>
            </w:tcBorders>
          </w:tcPr>
          <w:p w14:paraId="481DB3E1" w14:textId="77777777" w:rsidR="00DB2564" w:rsidRDefault="00DB2564" w:rsidP="00C16395">
            <w:pPr>
              <w:cnfStyle w:val="000000100000" w:firstRow="0" w:lastRow="0" w:firstColumn="0" w:lastColumn="0" w:oddVBand="0" w:evenVBand="0" w:oddHBand="1" w:evenHBand="0" w:firstRowFirstColumn="0" w:firstRowLastColumn="0" w:lastRowFirstColumn="0" w:lastRowLastColumn="0"/>
              <w:rPr>
                <w:sz w:val="20"/>
              </w:rPr>
            </w:pPr>
            <w:r>
              <w:rPr>
                <w:sz w:val="20"/>
              </w:rPr>
              <w:t>Maintain existing controls</w:t>
            </w:r>
          </w:p>
        </w:tc>
      </w:tr>
      <w:tr w:rsidR="00DB2564" w:rsidRPr="00D0086A" w14:paraId="46C25562" w14:textId="77777777" w:rsidTr="00805D6B">
        <w:tc>
          <w:tcPr>
            <w:cnfStyle w:val="001000000000" w:firstRow="0" w:lastRow="0" w:firstColumn="1" w:lastColumn="0" w:oddVBand="0" w:evenVBand="0" w:oddHBand="0" w:evenHBand="0" w:firstRowFirstColumn="0" w:firstRowLastColumn="0" w:lastRowFirstColumn="0" w:lastRowLastColumn="0"/>
            <w:tcW w:w="284" w:type="dxa"/>
            <w:shd w:val="clear" w:color="auto" w:fill="FFFF00"/>
          </w:tcPr>
          <w:p w14:paraId="004DFD72" w14:textId="77777777" w:rsidR="00DB2564" w:rsidRPr="00D0086A" w:rsidRDefault="00DB2564" w:rsidP="00C16395">
            <w:pPr>
              <w:rPr>
                <w:sz w:val="20"/>
              </w:rPr>
            </w:pPr>
          </w:p>
        </w:tc>
        <w:tc>
          <w:tcPr>
            <w:tcW w:w="1562" w:type="dxa"/>
          </w:tcPr>
          <w:p w14:paraId="4B00C11A" w14:textId="77777777" w:rsidR="00DB2564" w:rsidRDefault="00DB2564" w:rsidP="00C523E8">
            <w:pPr>
              <w:ind w:left="216"/>
              <w:cnfStyle w:val="000000000000" w:firstRow="0" w:lastRow="0" w:firstColumn="0" w:lastColumn="0" w:oddVBand="0" w:evenVBand="0" w:oddHBand="0" w:evenHBand="0" w:firstRowFirstColumn="0" w:firstRowLastColumn="0" w:lastRowFirstColumn="0" w:lastRowLastColumn="0"/>
              <w:rPr>
                <w:sz w:val="20"/>
              </w:rPr>
            </w:pPr>
            <w:r>
              <w:rPr>
                <w:sz w:val="20"/>
              </w:rPr>
              <w:t>8 – 10</w:t>
            </w:r>
          </w:p>
        </w:tc>
        <w:tc>
          <w:tcPr>
            <w:tcW w:w="1701" w:type="dxa"/>
          </w:tcPr>
          <w:p w14:paraId="76FCCF3F" w14:textId="77777777" w:rsidR="00DB2564" w:rsidRDefault="00DB2564" w:rsidP="00C16395">
            <w:pPr>
              <w:cnfStyle w:val="000000000000" w:firstRow="0" w:lastRow="0" w:firstColumn="0" w:lastColumn="0" w:oddVBand="0" w:evenVBand="0" w:oddHBand="0" w:evenHBand="0" w:firstRowFirstColumn="0" w:firstRowLastColumn="0" w:lastRowFirstColumn="0" w:lastRowLastColumn="0"/>
              <w:rPr>
                <w:sz w:val="20"/>
              </w:rPr>
            </w:pPr>
            <w:r>
              <w:rPr>
                <w:sz w:val="20"/>
              </w:rPr>
              <w:t>Medium priority</w:t>
            </w:r>
          </w:p>
        </w:tc>
        <w:tc>
          <w:tcPr>
            <w:tcW w:w="5809" w:type="dxa"/>
          </w:tcPr>
          <w:p w14:paraId="5BA79314" w14:textId="77777777" w:rsidR="00DB2564" w:rsidRDefault="00DB2564" w:rsidP="00C16395">
            <w:pPr>
              <w:cnfStyle w:val="000000000000" w:firstRow="0" w:lastRow="0" w:firstColumn="0" w:lastColumn="0" w:oddVBand="0" w:evenVBand="0" w:oddHBand="0" w:evenHBand="0" w:firstRowFirstColumn="0" w:firstRowLastColumn="0" w:lastRowFirstColumn="0" w:lastRowLastColumn="0"/>
              <w:rPr>
                <w:sz w:val="20"/>
              </w:rPr>
            </w:pPr>
            <w:r>
              <w:rPr>
                <w:sz w:val="20"/>
              </w:rPr>
              <w:t>Ok to proceed, give consideration to additional controls</w:t>
            </w:r>
          </w:p>
        </w:tc>
      </w:tr>
      <w:tr w:rsidR="00DB2564" w:rsidRPr="00D0086A" w14:paraId="45115B6E" w14:textId="77777777" w:rsidTr="00805D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 w:type="dxa"/>
            <w:tcBorders>
              <w:top w:val="none" w:sz="0" w:space="0" w:color="auto"/>
              <w:bottom w:val="none" w:sz="0" w:space="0" w:color="auto"/>
            </w:tcBorders>
            <w:shd w:val="clear" w:color="auto" w:fill="FF0000"/>
          </w:tcPr>
          <w:p w14:paraId="285278C1" w14:textId="77777777" w:rsidR="00DB2564" w:rsidRPr="00D0086A" w:rsidRDefault="00DB2564" w:rsidP="00C16395">
            <w:pPr>
              <w:rPr>
                <w:sz w:val="20"/>
              </w:rPr>
            </w:pPr>
          </w:p>
        </w:tc>
        <w:tc>
          <w:tcPr>
            <w:tcW w:w="1562" w:type="dxa"/>
            <w:tcBorders>
              <w:top w:val="none" w:sz="0" w:space="0" w:color="auto"/>
              <w:bottom w:val="none" w:sz="0" w:space="0" w:color="auto"/>
            </w:tcBorders>
          </w:tcPr>
          <w:p w14:paraId="7EEF4A05" w14:textId="77777777" w:rsidR="00DB2564" w:rsidRDefault="00250583" w:rsidP="00C523E8">
            <w:pPr>
              <w:ind w:left="216"/>
              <w:cnfStyle w:val="000000100000" w:firstRow="0" w:lastRow="0" w:firstColumn="0" w:lastColumn="0" w:oddVBand="0" w:evenVBand="0" w:oddHBand="1" w:evenHBand="0" w:firstRowFirstColumn="0" w:firstRowLastColumn="0" w:lastRowFirstColumn="0" w:lastRowLastColumn="0"/>
              <w:rPr>
                <w:sz w:val="20"/>
              </w:rPr>
            </w:pPr>
            <w:r>
              <w:rPr>
                <w:sz w:val="20"/>
              </w:rPr>
              <w:t>12</w:t>
            </w:r>
            <w:r w:rsidR="00DB2564">
              <w:rPr>
                <w:sz w:val="20"/>
              </w:rPr>
              <w:t xml:space="preserve"> – 25</w:t>
            </w:r>
          </w:p>
        </w:tc>
        <w:tc>
          <w:tcPr>
            <w:tcW w:w="1701" w:type="dxa"/>
            <w:tcBorders>
              <w:top w:val="none" w:sz="0" w:space="0" w:color="auto"/>
              <w:bottom w:val="none" w:sz="0" w:space="0" w:color="auto"/>
            </w:tcBorders>
          </w:tcPr>
          <w:p w14:paraId="3CF78DB7" w14:textId="77777777" w:rsidR="00DB2564" w:rsidRDefault="00DB2564" w:rsidP="00C16395">
            <w:pPr>
              <w:cnfStyle w:val="000000100000" w:firstRow="0" w:lastRow="0" w:firstColumn="0" w:lastColumn="0" w:oddVBand="0" w:evenVBand="0" w:oddHBand="1" w:evenHBand="0" w:firstRowFirstColumn="0" w:firstRowLastColumn="0" w:lastRowFirstColumn="0" w:lastRowLastColumn="0"/>
              <w:rPr>
                <w:sz w:val="20"/>
              </w:rPr>
            </w:pPr>
            <w:r>
              <w:rPr>
                <w:sz w:val="20"/>
              </w:rPr>
              <w:t>High priority</w:t>
            </w:r>
          </w:p>
        </w:tc>
        <w:tc>
          <w:tcPr>
            <w:tcW w:w="5809" w:type="dxa"/>
            <w:tcBorders>
              <w:top w:val="none" w:sz="0" w:space="0" w:color="auto"/>
              <w:bottom w:val="none" w:sz="0" w:space="0" w:color="auto"/>
            </w:tcBorders>
          </w:tcPr>
          <w:p w14:paraId="00046E8A" w14:textId="77777777" w:rsidR="00DB2564" w:rsidRDefault="00DB2564" w:rsidP="00A938C7">
            <w:pPr>
              <w:cnfStyle w:val="000000100000" w:firstRow="0" w:lastRow="0" w:firstColumn="0" w:lastColumn="0" w:oddVBand="0" w:evenVBand="0" w:oddHBand="1" w:evenHBand="0" w:firstRowFirstColumn="0" w:firstRowLastColumn="0" w:lastRowFirstColumn="0" w:lastRowLastColumn="0"/>
              <w:rPr>
                <w:sz w:val="20"/>
              </w:rPr>
            </w:pPr>
            <w:r>
              <w:rPr>
                <w:sz w:val="20"/>
              </w:rPr>
              <w:t>Additional contr</w:t>
            </w:r>
            <w:r w:rsidR="00A938C7">
              <w:rPr>
                <w:sz w:val="20"/>
              </w:rPr>
              <w:t>ols required before proceeding</w:t>
            </w:r>
          </w:p>
        </w:tc>
      </w:tr>
    </w:tbl>
    <w:p w14:paraId="45ED66C0" w14:textId="77777777" w:rsidR="00222DE0" w:rsidRDefault="00222DE0" w:rsidP="00222DE0">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216"/>
        <w:gridCol w:w="1340"/>
        <w:gridCol w:w="1276"/>
        <w:gridCol w:w="1275"/>
        <w:gridCol w:w="1276"/>
        <w:gridCol w:w="1247"/>
      </w:tblGrid>
      <w:tr w:rsidR="00E902A8" w:rsidRPr="00E902A8" w14:paraId="53C68259" w14:textId="77777777" w:rsidTr="00C422BF">
        <w:trPr>
          <w:trHeight w:val="1020"/>
          <w:jc w:val="center"/>
        </w:trPr>
        <w:tc>
          <w:tcPr>
            <w:tcW w:w="1692" w:type="dxa"/>
            <w:vAlign w:val="center"/>
          </w:tcPr>
          <w:p w14:paraId="3F8BA8A5" w14:textId="77777777" w:rsidR="00E902A8" w:rsidRPr="00E902A8" w:rsidRDefault="00E902A8" w:rsidP="00093662">
            <w:pPr>
              <w:ind w:left="180"/>
              <w:jc w:val="center"/>
              <w:rPr>
                <w:rFonts w:cs="Arial"/>
                <w:bCs/>
                <w:sz w:val="20"/>
              </w:rPr>
            </w:pPr>
          </w:p>
        </w:tc>
        <w:tc>
          <w:tcPr>
            <w:tcW w:w="1216" w:type="dxa"/>
            <w:vAlign w:val="center"/>
          </w:tcPr>
          <w:p w14:paraId="6BD1940F" w14:textId="77777777" w:rsidR="00E902A8" w:rsidRPr="00E902A8" w:rsidRDefault="00E902A8" w:rsidP="00093662">
            <w:pPr>
              <w:pStyle w:val="Heading9"/>
              <w:jc w:val="center"/>
              <w:rPr>
                <w:rFonts w:ascii="Arial" w:hAnsi="Arial" w:cs="Arial"/>
                <w:i w:val="0"/>
              </w:rPr>
            </w:pPr>
            <w:r w:rsidRPr="00E902A8">
              <w:rPr>
                <w:rFonts w:ascii="Arial" w:hAnsi="Arial" w:cs="Arial"/>
                <w:i w:val="0"/>
              </w:rPr>
              <w:t>Likelihood</w:t>
            </w:r>
          </w:p>
        </w:tc>
        <w:tc>
          <w:tcPr>
            <w:tcW w:w="1340" w:type="dxa"/>
            <w:vAlign w:val="center"/>
          </w:tcPr>
          <w:p w14:paraId="622A06A6" w14:textId="77777777" w:rsidR="00E902A8" w:rsidRPr="00E902A8" w:rsidRDefault="00E902A8" w:rsidP="00093662">
            <w:pPr>
              <w:jc w:val="center"/>
              <w:rPr>
                <w:rFonts w:cs="Arial"/>
                <w:sz w:val="20"/>
              </w:rPr>
            </w:pPr>
            <w:r w:rsidRPr="00E902A8">
              <w:rPr>
                <w:rFonts w:cs="Arial"/>
                <w:sz w:val="20"/>
              </w:rPr>
              <w:t>Certain</w:t>
            </w:r>
          </w:p>
        </w:tc>
        <w:tc>
          <w:tcPr>
            <w:tcW w:w="1276" w:type="dxa"/>
            <w:vAlign w:val="center"/>
          </w:tcPr>
          <w:p w14:paraId="014DEA3F" w14:textId="77777777" w:rsidR="00E902A8" w:rsidRPr="00E902A8" w:rsidRDefault="00E902A8" w:rsidP="00093662">
            <w:pPr>
              <w:jc w:val="center"/>
              <w:rPr>
                <w:rFonts w:cs="Arial"/>
                <w:sz w:val="20"/>
              </w:rPr>
            </w:pPr>
            <w:r w:rsidRPr="00E902A8">
              <w:rPr>
                <w:rFonts w:cs="Arial"/>
                <w:sz w:val="20"/>
              </w:rPr>
              <w:t>Very Likely</w:t>
            </w:r>
          </w:p>
        </w:tc>
        <w:tc>
          <w:tcPr>
            <w:tcW w:w="1275" w:type="dxa"/>
            <w:vAlign w:val="center"/>
          </w:tcPr>
          <w:p w14:paraId="2520217E" w14:textId="77777777" w:rsidR="00E902A8" w:rsidRPr="00E902A8" w:rsidRDefault="00E902A8" w:rsidP="00093662">
            <w:pPr>
              <w:jc w:val="center"/>
              <w:rPr>
                <w:rFonts w:cs="Arial"/>
                <w:sz w:val="20"/>
              </w:rPr>
            </w:pPr>
            <w:r w:rsidRPr="00E902A8">
              <w:rPr>
                <w:rFonts w:cs="Arial"/>
                <w:sz w:val="20"/>
              </w:rPr>
              <w:t>Likely</w:t>
            </w:r>
          </w:p>
        </w:tc>
        <w:tc>
          <w:tcPr>
            <w:tcW w:w="1276" w:type="dxa"/>
            <w:vAlign w:val="center"/>
          </w:tcPr>
          <w:p w14:paraId="5CB1B7DD" w14:textId="77777777" w:rsidR="00E902A8" w:rsidRPr="00E902A8" w:rsidRDefault="00E902A8" w:rsidP="00093662">
            <w:pPr>
              <w:jc w:val="center"/>
              <w:rPr>
                <w:rFonts w:cs="Arial"/>
                <w:sz w:val="20"/>
              </w:rPr>
            </w:pPr>
            <w:r w:rsidRPr="00E902A8">
              <w:rPr>
                <w:rFonts w:cs="Arial"/>
                <w:sz w:val="20"/>
              </w:rPr>
              <w:t>May Happen</w:t>
            </w:r>
          </w:p>
        </w:tc>
        <w:tc>
          <w:tcPr>
            <w:tcW w:w="1247" w:type="dxa"/>
            <w:vAlign w:val="center"/>
          </w:tcPr>
          <w:p w14:paraId="28E77D81" w14:textId="77777777" w:rsidR="00E902A8" w:rsidRPr="00E902A8" w:rsidRDefault="00E902A8" w:rsidP="00093662">
            <w:pPr>
              <w:jc w:val="center"/>
              <w:rPr>
                <w:rFonts w:cs="Arial"/>
                <w:sz w:val="20"/>
              </w:rPr>
            </w:pPr>
            <w:r w:rsidRPr="00E902A8">
              <w:rPr>
                <w:rFonts w:cs="Arial"/>
                <w:sz w:val="20"/>
              </w:rPr>
              <w:t>Unlikely</w:t>
            </w:r>
          </w:p>
        </w:tc>
      </w:tr>
      <w:tr w:rsidR="00E902A8" w:rsidRPr="00E902A8" w14:paraId="532F837D" w14:textId="77777777" w:rsidTr="00C422BF">
        <w:trPr>
          <w:trHeight w:val="1020"/>
          <w:jc w:val="center"/>
        </w:trPr>
        <w:tc>
          <w:tcPr>
            <w:tcW w:w="1692" w:type="dxa"/>
            <w:vAlign w:val="center"/>
          </w:tcPr>
          <w:p w14:paraId="01836AED" w14:textId="77777777" w:rsidR="00E902A8" w:rsidRPr="00E902A8" w:rsidRDefault="00E902A8" w:rsidP="00093662">
            <w:pPr>
              <w:jc w:val="center"/>
              <w:rPr>
                <w:rFonts w:cs="Arial"/>
                <w:bCs/>
                <w:sz w:val="20"/>
              </w:rPr>
            </w:pPr>
            <w:r w:rsidRPr="00E902A8">
              <w:rPr>
                <w:rFonts w:cs="Arial"/>
                <w:bCs/>
                <w:sz w:val="20"/>
              </w:rPr>
              <w:t>Severity</w:t>
            </w:r>
          </w:p>
        </w:tc>
        <w:tc>
          <w:tcPr>
            <w:tcW w:w="1216" w:type="dxa"/>
            <w:vAlign w:val="center"/>
          </w:tcPr>
          <w:p w14:paraId="29A9AA5D" w14:textId="77777777" w:rsidR="00E902A8" w:rsidRPr="00E902A8" w:rsidRDefault="00E902A8" w:rsidP="00093662">
            <w:pPr>
              <w:jc w:val="center"/>
              <w:rPr>
                <w:rFonts w:cs="Arial"/>
                <w:bCs/>
                <w:sz w:val="20"/>
              </w:rPr>
            </w:pPr>
          </w:p>
        </w:tc>
        <w:tc>
          <w:tcPr>
            <w:tcW w:w="1340" w:type="dxa"/>
            <w:tcBorders>
              <w:bottom w:val="single" w:sz="4" w:space="0" w:color="auto"/>
            </w:tcBorders>
            <w:vAlign w:val="center"/>
          </w:tcPr>
          <w:p w14:paraId="6CF98853" w14:textId="77777777" w:rsidR="00E902A8" w:rsidRPr="00E902A8" w:rsidRDefault="00E902A8" w:rsidP="00093662">
            <w:pPr>
              <w:jc w:val="center"/>
              <w:rPr>
                <w:rFonts w:cs="Arial"/>
                <w:sz w:val="20"/>
              </w:rPr>
            </w:pPr>
            <w:r w:rsidRPr="00E902A8">
              <w:rPr>
                <w:rFonts w:cs="Arial"/>
                <w:sz w:val="20"/>
              </w:rPr>
              <w:t>5</w:t>
            </w:r>
          </w:p>
        </w:tc>
        <w:tc>
          <w:tcPr>
            <w:tcW w:w="1276" w:type="dxa"/>
            <w:tcBorders>
              <w:bottom w:val="single" w:sz="4" w:space="0" w:color="auto"/>
            </w:tcBorders>
            <w:vAlign w:val="center"/>
          </w:tcPr>
          <w:p w14:paraId="3BEFDBFD" w14:textId="77777777" w:rsidR="00E902A8" w:rsidRPr="00E902A8" w:rsidRDefault="00E902A8" w:rsidP="00093662">
            <w:pPr>
              <w:jc w:val="center"/>
              <w:rPr>
                <w:rFonts w:cs="Arial"/>
                <w:sz w:val="20"/>
              </w:rPr>
            </w:pPr>
            <w:r w:rsidRPr="00E902A8">
              <w:rPr>
                <w:rFonts w:cs="Arial"/>
                <w:sz w:val="20"/>
              </w:rPr>
              <w:t>4</w:t>
            </w:r>
          </w:p>
        </w:tc>
        <w:tc>
          <w:tcPr>
            <w:tcW w:w="1275" w:type="dxa"/>
            <w:tcBorders>
              <w:bottom w:val="single" w:sz="4" w:space="0" w:color="auto"/>
            </w:tcBorders>
            <w:vAlign w:val="center"/>
          </w:tcPr>
          <w:p w14:paraId="7BD7567E" w14:textId="77777777" w:rsidR="00E902A8" w:rsidRPr="00E902A8" w:rsidRDefault="00E902A8" w:rsidP="00093662">
            <w:pPr>
              <w:jc w:val="center"/>
              <w:rPr>
                <w:rFonts w:cs="Arial"/>
                <w:sz w:val="20"/>
              </w:rPr>
            </w:pPr>
            <w:r w:rsidRPr="00E902A8">
              <w:rPr>
                <w:rFonts w:cs="Arial"/>
                <w:sz w:val="20"/>
              </w:rPr>
              <w:t>3</w:t>
            </w:r>
          </w:p>
        </w:tc>
        <w:tc>
          <w:tcPr>
            <w:tcW w:w="1276" w:type="dxa"/>
            <w:tcBorders>
              <w:bottom w:val="single" w:sz="4" w:space="0" w:color="auto"/>
            </w:tcBorders>
            <w:vAlign w:val="center"/>
          </w:tcPr>
          <w:p w14:paraId="0F1E1AF5" w14:textId="77777777" w:rsidR="00E902A8" w:rsidRPr="00E902A8" w:rsidRDefault="00E902A8" w:rsidP="00093662">
            <w:pPr>
              <w:jc w:val="center"/>
              <w:rPr>
                <w:rFonts w:cs="Arial"/>
                <w:sz w:val="20"/>
              </w:rPr>
            </w:pPr>
            <w:r w:rsidRPr="00E902A8">
              <w:rPr>
                <w:rFonts w:cs="Arial"/>
                <w:sz w:val="20"/>
              </w:rPr>
              <w:t>2</w:t>
            </w:r>
          </w:p>
        </w:tc>
        <w:tc>
          <w:tcPr>
            <w:tcW w:w="1247" w:type="dxa"/>
            <w:tcBorders>
              <w:bottom w:val="single" w:sz="4" w:space="0" w:color="auto"/>
            </w:tcBorders>
            <w:vAlign w:val="center"/>
          </w:tcPr>
          <w:p w14:paraId="10FCF429" w14:textId="77777777" w:rsidR="00E902A8" w:rsidRPr="00E902A8" w:rsidRDefault="00E902A8" w:rsidP="00093662">
            <w:pPr>
              <w:jc w:val="center"/>
              <w:rPr>
                <w:rFonts w:cs="Arial"/>
                <w:sz w:val="20"/>
              </w:rPr>
            </w:pPr>
            <w:r w:rsidRPr="00E902A8">
              <w:rPr>
                <w:rFonts w:cs="Arial"/>
                <w:sz w:val="20"/>
              </w:rPr>
              <w:t>1</w:t>
            </w:r>
          </w:p>
        </w:tc>
      </w:tr>
      <w:tr w:rsidR="00E902A8" w:rsidRPr="00E902A8" w14:paraId="18586AF8" w14:textId="77777777" w:rsidTr="00C422BF">
        <w:trPr>
          <w:trHeight w:val="1020"/>
          <w:jc w:val="center"/>
        </w:trPr>
        <w:tc>
          <w:tcPr>
            <w:tcW w:w="1692" w:type="dxa"/>
            <w:vAlign w:val="center"/>
          </w:tcPr>
          <w:p w14:paraId="60D42DE5" w14:textId="77777777" w:rsidR="00E902A8" w:rsidRPr="00E902A8" w:rsidRDefault="00E902A8" w:rsidP="00093662">
            <w:pPr>
              <w:jc w:val="center"/>
              <w:rPr>
                <w:rFonts w:cs="Arial"/>
                <w:sz w:val="20"/>
              </w:rPr>
            </w:pPr>
            <w:r w:rsidRPr="00E902A8">
              <w:rPr>
                <w:rFonts w:cs="Arial"/>
                <w:sz w:val="20"/>
              </w:rPr>
              <w:t>Death</w:t>
            </w:r>
          </w:p>
        </w:tc>
        <w:tc>
          <w:tcPr>
            <w:tcW w:w="1216" w:type="dxa"/>
            <w:vAlign w:val="center"/>
          </w:tcPr>
          <w:p w14:paraId="46F1A214" w14:textId="77777777" w:rsidR="00E902A8" w:rsidRPr="00E902A8" w:rsidRDefault="00E902A8" w:rsidP="00093662">
            <w:pPr>
              <w:jc w:val="center"/>
              <w:rPr>
                <w:rFonts w:cs="Arial"/>
                <w:sz w:val="20"/>
              </w:rPr>
            </w:pPr>
            <w:r w:rsidRPr="00E902A8">
              <w:rPr>
                <w:rFonts w:cs="Arial"/>
                <w:sz w:val="20"/>
              </w:rPr>
              <w:t>5</w:t>
            </w:r>
          </w:p>
        </w:tc>
        <w:tc>
          <w:tcPr>
            <w:tcW w:w="1340" w:type="dxa"/>
            <w:tcBorders>
              <w:bottom w:val="single" w:sz="4" w:space="0" w:color="auto"/>
            </w:tcBorders>
            <w:shd w:val="clear" w:color="auto" w:fill="FF0000"/>
            <w:vAlign w:val="center"/>
          </w:tcPr>
          <w:p w14:paraId="3EE3A4B8" w14:textId="77777777" w:rsidR="00E902A8" w:rsidRPr="00E902A8" w:rsidRDefault="00E902A8" w:rsidP="00093662">
            <w:pPr>
              <w:jc w:val="center"/>
              <w:rPr>
                <w:rFonts w:cs="Arial"/>
                <w:b/>
                <w:bCs/>
                <w:sz w:val="20"/>
                <w:highlight w:val="red"/>
              </w:rPr>
            </w:pPr>
            <w:r w:rsidRPr="00E902A8">
              <w:rPr>
                <w:rFonts w:cs="Arial"/>
                <w:b/>
                <w:bCs/>
                <w:sz w:val="20"/>
                <w:highlight w:val="red"/>
              </w:rPr>
              <w:t>25</w:t>
            </w:r>
          </w:p>
        </w:tc>
        <w:tc>
          <w:tcPr>
            <w:tcW w:w="1276" w:type="dxa"/>
            <w:tcBorders>
              <w:bottom w:val="single" w:sz="4" w:space="0" w:color="auto"/>
            </w:tcBorders>
            <w:shd w:val="clear" w:color="auto" w:fill="FF0000"/>
            <w:vAlign w:val="center"/>
          </w:tcPr>
          <w:p w14:paraId="3E32FD50" w14:textId="77777777" w:rsidR="00E902A8" w:rsidRPr="00E902A8" w:rsidRDefault="00E902A8" w:rsidP="00093662">
            <w:pPr>
              <w:jc w:val="center"/>
              <w:rPr>
                <w:rFonts w:cs="Arial"/>
                <w:b/>
                <w:bCs/>
                <w:sz w:val="20"/>
                <w:highlight w:val="red"/>
              </w:rPr>
            </w:pPr>
            <w:r w:rsidRPr="00E902A8">
              <w:rPr>
                <w:rFonts w:cs="Arial"/>
                <w:b/>
                <w:bCs/>
                <w:sz w:val="20"/>
                <w:highlight w:val="red"/>
              </w:rPr>
              <w:t>20</w:t>
            </w:r>
          </w:p>
        </w:tc>
        <w:tc>
          <w:tcPr>
            <w:tcW w:w="1275" w:type="dxa"/>
            <w:tcBorders>
              <w:bottom w:val="single" w:sz="4" w:space="0" w:color="auto"/>
            </w:tcBorders>
            <w:shd w:val="clear" w:color="auto" w:fill="FF0000"/>
            <w:vAlign w:val="center"/>
          </w:tcPr>
          <w:p w14:paraId="452CB111" w14:textId="77777777" w:rsidR="00E902A8" w:rsidRPr="00E902A8" w:rsidRDefault="00E902A8" w:rsidP="00093662">
            <w:pPr>
              <w:jc w:val="center"/>
              <w:rPr>
                <w:rFonts w:cs="Arial"/>
                <w:b/>
                <w:bCs/>
                <w:sz w:val="20"/>
                <w:highlight w:val="red"/>
              </w:rPr>
            </w:pPr>
            <w:r w:rsidRPr="00E902A8">
              <w:rPr>
                <w:rFonts w:cs="Arial"/>
                <w:b/>
                <w:bCs/>
                <w:sz w:val="20"/>
                <w:highlight w:val="red"/>
              </w:rPr>
              <w:t>15</w:t>
            </w:r>
          </w:p>
        </w:tc>
        <w:tc>
          <w:tcPr>
            <w:tcW w:w="1276" w:type="dxa"/>
            <w:tcBorders>
              <w:bottom w:val="single" w:sz="4" w:space="0" w:color="auto"/>
              <w:right w:val="single" w:sz="4" w:space="0" w:color="auto"/>
            </w:tcBorders>
            <w:shd w:val="clear" w:color="auto" w:fill="FFFF00"/>
            <w:vAlign w:val="center"/>
          </w:tcPr>
          <w:p w14:paraId="5E91AC32" w14:textId="77777777" w:rsidR="00E902A8" w:rsidRPr="00E902A8" w:rsidRDefault="00E902A8" w:rsidP="00093662">
            <w:pPr>
              <w:jc w:val="center"/>
              <w:rPr>
                <w:rFonts w:cs="Arial"/>
                <w:b/>
                <w:bCs/>
                <w:sz w:val="20"/>
                <w:highlight w:val="yellow"/>
              </w:rPr>
            </w:pPr>
            <w:r w:rsidRPr="00E902A8">
              <w:rPr>
                <w:rFonts w:cs="Arial"/>
                <w:b/>
                <w:bCs/>
                <w:sz w:val="20"/>
                <w:highlight w:val="yellow"/>
              </w:rPr>
              <w:t>10</w:t>
            </w:r>
          </w:p>
        </w:tc>
        <w:tc>
          <w:tcPr>
            <w:tcW w:w="1247" w:type="dxa"/>
            <w:tcBorders>
              <w:top w:val="single" w:sz="4" w:space="0" w:color="auto"/>
              <w:left w:val="single" w:sz="4" w:space="0" w:color="auto"/>
              <w:bottom w:val="single" w:sz="4" w:space="0" w:color="auto"/>
              <w:right w:val="single" w:sz="4" w:space="0" w:color="auto"/>
            </w:tcBorders>
            <w:shd w:val="clear" w:color="auto" w:fill="00FF00"/>
            <w:vAlign w:val="center"/>
          </w:tcPr>
          <w:p w14:paraId="1587DDE6" w14:textId="77777777" w:rsidR="00E902A8" w:rsidRPr="00E902A8" w:rsidRDefault="00E902A8" w:rsidP="00093662">
            <w:pPr>
              <w:jc w:val="center"/>
              <w:rPr>
                <w:rFonts w:cs="Arial"/>
                <w:b/>
                <w:bCs/>
                <w:sz w:val="20"/>
                <w:highlight w:val="yellow"/>
              </w:rPr>
            </w:pPr>
            <w:r w:rsidRPr="00E902A8">
              <w:rPr>
                <w:rFonts w:cs="Arial"/>
                <w:b/>
                <w:bCs/>
                <w:sz w:val="20"/>
                <w:highlight w:val="green"/>
              </w:rPr>
              <w:t>5</w:t>
            </w:r>
          </w:p>
        </w:tc>
      </w:tr>
      <w:tr w:rsidR="00E902A8" w:rsidRPr="00E902A8" w14:paraId="2A71DFEC" w14:textId="77777777" w:rsidTr="00C422BF">
        <w:trPr>
          <w:trHeight w:val="1020"/>
          <w:jc w:val="center"/>
        </w:trPr>
        <w:tc>
          <w:tcPr>
            <w:tcW w:w="1692" w:type="dxa"/>
            <w:vAlign w:val="center"/>
          </w:tcPr>
          <w:p w14:paraId="130C583B" w14:textId="77777777" w:rsidR="00E902A8" w:rsidRPr="00E902A8" w:rsidRDefault="00E902A8" w:rsidP="00093662">
            <w:pPr>
              <w:jc w:val="center"/>
              <w:rPr>
                <w:rFonts w:cs="Arial"/>
                <w:sz w:val="20"/>
              </w:rPr>
            </w:pPr>
            <w:r w:rsidRPr="00E902A8">
              <w:rPr>
                <w:rFonts w:cs="Arial"/>
                <w:sz w:val="20"/>
              </w:rPr>
              <w:t>Major Injury</w:t>
            </w:r>
          </w:p>
        </w:tc>
        <w:tc>
          <w:tcPr>
            <w:tcW w:w="1216" w:type="dxa"/>
            <w:vAlign w:val="center"/>
          </w:tcPr>
          <w:p w14:paraId="5BA18262" w14:textId="77777777" w:rsidR="00E902A8" w:rsidRPr="00E902A8" w:rsidRDefault="00E902A8" w:rsidP="00093662">
            <w:pPr>
              <w:jc w:val="center"/>
              <w:rPr>
                <w:rFonts w:cs="Arial"/>
                <w:sz w:val="20"/>
              </w:rPr>
            </w:pPr>
            <w:r w:rsidRPr="00E902A8">
              <w:rPr>
                <w:rFonts w:cs="Arial"/>
                <w:sz w:val="20"/>
              </w:rPr>
              <w:t>4</w:t>
            </w:r>
          </w:p>
        </w:tc>
        <w:tc>
          <w:tcPr>
            <w:tcW w:w="1340" w:type="dxa"/>
            <w:tcBorders>
              <w:bottom w:val="single" w:sz="4" w:space="0" w:color="auto"/>
            </w:tcBorders>
            <w:shd w:val="clear" w:color="auto" w:fill="FF0000"/>
            <w:vAlign w:val="center"/>
          </w:tcPr>
          <w:p w14:paraId="5E13D738" w14:textId="77777777" w:rsidR="00E902A8" w:rsidRPr="00E902A8" w:rsidRDefault="00E902A8" w:rsidP="00093662">
            <w:pPr>
              <w:jc w:val="center"/>
              <w:rPr>
                <w:rFonts w:cs="Arial"/>
                <w:b/>
                <w:bCs/>
                <w:sz w:val="20"/>
                <w:highlight w:val="red"/>
              </w:rPr>
            </w:pPr>
            <w:r w:rsidRPr="00E902A8">
              <w:rPr>
                <w:rFonts w:cs="Arial"/>
                <w:b/>
                <w:bCs/>
                <w:sz w:val="20"/>
                <w:highlight w:val="red"/>
              </w:rPr>
              <w:t>20</w:t>
            </w:r>
          </w:p>
        </w:tc>
        <w:tc>
          <w:tcPr>
            <w:tcW w:w="1276" w:type="dxa"/>
            <w:tcBorders>
              <w:bottom w:val="single" w:sz="4" w:space="0" w:color="auto"/>
            </w:tcBorders>
            <w:shd w:val="clear" w:color="auto" w:fill="FF0000"/>
            <w:vAlign w:val="center"/>
          </w:tcPr>
          <w:p w14:paraId="3A347595" w14:textId="77777777" w:rsidR="00E902A8" w:rsidRPr="00E902A8" w:rsidRDefault="00E902A8" w:rsidP="00093662">
            <w:pPr>
              <w:jc w:val="center"/>
              <w:rPr>
                <w:rFonts w:cs="Arial"/>
                <w:b/>
                <w:bCs/>
                <w:sz w:val="20"/>
                <w:highlight w:val="red"/>
              </w:rPr>
            </w:pPr>
            <w:r w:rsidRPr="00E902A8">
              <w:rPr>
                <w:rFonts w:cs="Arial"/>
                <w:b/>
                <w:bCs/>
                <w:sz w:val="20"/>
                <w:highlight w:val="red"/>
              </w:rPr>
              <w:t>16</w:t>
            </w:r>
          </w:p>
        </w:tc>
        <w:tc>
          <w:tcPr>
            <w:tcW w:w="1275" w:type="dxa"/>
            <w:tcBorders>
              <w:bottom w:val="single" w:sz="4" w:space="0" w:color="auto"/>
            </w:tcBorders>
            <w:shd w:val="clear" w:color="auto" w:fill="FF0000"/>
            <w:vAlign w:val="center"/>
          </w:tcPr>
          <w:p w14:paraId="098FA0BC" w14:textId="77777777" w:rsidR="00E902A8" w:rsidRPr="00E902A8" w:rsidRDefault="00E902A8" w:rsidP="00093662">
            <w:pPr>
              <w:jc w:val="center"/>
              <w:rPr>
                <w:rFonts w:cs="Arial"/>
                <w:b/>
                <w:bCs/>
                <w:sz w:val="20"/>
              </w:rPr>
            </w:pPr>
            <w:r w:rsidRPr="00E902A8">
              <w:rPr>
                <w:rFonts w:cs="Arial"/>
                <w:b/>
                <w:bCs/>
                <w:sz w:val="20"/>
                <w:highlight w:val="red"/>
              </w:rPr>
              <w:t>12</w:t>
            </w:r>
          </w:p>
        </w:tc>
        <w:tc>
          <w:tcPr>
            <w:tcW w:w="1276" w:type="dxa"/>
            <w:tcBorders>
              <w:bottom w:val="single" w:sz="4" w:space="0" w:color="auto"/>
              <w:right w:val="single" w:sz="4" w:space="0" w:color="auto"/>
            </w:tcBorders>
            <w:shd w:val="clear" w:color="auto" w:fill="FFFF00"/>
            <w:vAlign w:val="center"/>
          </w:tcPr>
          <w:p w14:paraId="66160A56" w14:textId="77777777" w:rsidR="00E902A8" w:rsidRPr="00E902A8" w:rsidRDefault="00E902A8" w:rsidP="00093662">
            <w:pPr>
              <w:jc w:val="center"/>
              <w:rPr>
                <w:rFonts w:cs="Arial"/>
                <w:b/>
                <w:bCs/>
                <w:sz w:val="20"/>
                <w:highlight w:val="yellow"/>
              </w:rPr>
            </w:pPr>
            <w:r w:rsidRPr="00E902A8">
              <w:rPr>
                <w:rFonts w:cs="Arial"/>
                <w:b/>
                <w:bCs/>
                <w:sz w:val="20"/>
                <w:highlight w:val="yellow"/>
              </w:rPr>
              <w:t>8</w:t>
            </w:r>
          </w:p>
        </w:tc>
        <w:tc>
          <w:tcPr>
            <w:tcW w:w="1247" w:type="dxa"/>
            <w:tcBorders>
              <w:top w:val="single" w:sz="4" w:space="0" w:color="auto"/>
              <w:left w:val="single" w:sz="4" w:space="0" w:color="auto"/>
              <w:bottom w:val="single" w:sz="4" w:space="0" w:color="auto"/>
              <w:right w:val="single" w:sz="4" w:space="0" w:color="auto"/>
            </w:tcBorders>
            <w:shd w:val="clear" w:color="auto" w:fill="00FF00"/>
            <w:vAlign w:val="center"/>
          </w:tcPr>
          <w:p w14:paraId="76976E5D" w14:textId="77777777" w:rsidR="00E902A8" w:rsidRPr="00E902A8" w:rsidRDefault="00E902A8" w:rsidP="00093662">
            <w:pPr>
              <w:jc w:val="center"/>
              <w:rPr>
                <w:rFonts w:cs="Arial"/>
                <w:b/>
                <w:bCs/>
                <w:sz w:val="20"/>
                <w:highlight w:val="green"/>
              </w:rPr>
            </w:pPr>
            <w:r w:rsidRPr="00E902A8">
              <w:rPr>
                <w:rFonts w:cs="Arial"/>
                <w:b/>
                <w:bCs/>
                <w:sz w:val="20"/>
                <w:highlight w:val="green"/>
              </w:rPr>
              <w:t>4</w:t>
            </w:r>
          </w:p>
        </w:tc>
      </w:tr>
      <w:tr w:rsidR="00E902A8" w:rsidRPr="00E902A8" w14:paraId="317C7477" w14:textId="77777777" w:rsidTr="00C422BF">
        <w:trPr>
          <w:trHeight w:val="1020"/>
          <w:jc w:val="center"/>
        </w:trPr>
        <w:tc>
          <w:tcPr>
            <w:tcW w:w="1692" w:type="dxa"/>
            <w:vAlign w:val="center"/>
          </w:tcPr>
          <w:p w14:paraId="6DA81734" w14:textId="77777777" w:rsidR="00E902A8" w:rsidRPr="00E902A8" w:rsidRDefault="00E902A8" w:rsidP="00093662">
            <w:pPr>
              <w:jc w:val="center"/>
              <w:rPr>
                <w:rFonts w:cs="Arial"/>
                <w:sz w:val="20"/>
              </w:rPr>
            </w:pPr>
            <w:r w:rsidRPr="00E902A8">
              <w:rPr>
                <w:rFonts w:cs="Arial"/>
                <w:sz w:val="20"/>
              </w:rPr>
              <w:t>Over 3 Day Injury</w:t>
            </w:r>
          </w:p>
        </w:tc>
        <w:tc>
          <w:tcPr>
            <w:tcW w:w="1216" w:type="dxa"/>
            <w:vAlign w:val="center"/>
          </w:tcPr>
          <w:p w14:paraId="648F281D" w14:textId="77777777" w:rsidR="00E902A8" w:rsidRPr="00E902A8" w:rsidRDefault="00E902A8" w:rsidP="00093662">
            <w:pPr>
              <w:jc w:val="center"/>
              <w:rPr>
                <w:rFonts w:cs="Arial"/>
                <w:sz w:val="20"/>
              </w:rPr>
            </w:pPr>
            <w:r w:rsidRPr="00E902A8">
              <w:rPr>
                <w:rFonts w:cs="Arial"/>
                <w:sz w:val="20"/>
              </w:rPr>
              <w:t>3</w:t>
            </w:r>
          </w:p>
        </w:tc>
        <w:tc>
          <w:tcPr>
            <w:tcW w:w="1340" w:type="dxa"/>
            <w:tcBorders>
              <w:bottom w:val="single" w:sz="4" w:space="0" w:color="auto"/>
            </w:tcBorders>
            <w:shd w:val="clear" w:color="auto" w:fill="FF0000"/>
            <w:vAlign w:val="center"/>
          </w:tcPr>
          <w:p w14:paraId="6302D50C" w14:textId="77777777" w:rsidR="00E902A8" w:rsidRPr="00E902A8" w:rsidRDefault="00E902A8" w:rsidP="00093662">
            <w:pPr>
              <w:jc w:val="center"/>
              <w:rPr>
                <w:rFonts w:cs="Arial"/>
                <w:b/>
                <w:bCs/>
                <w:sz w:val="20"/>
                <w:highlight w:val="red"/>
              </w:rPr>
            </w:pPr>
            <w:r w:rsidRPr="00E902A8">
              <w:rPr>
                <w:rFonts w:cs="Arial"/>
                <w:b/>
                <w:bCs/>
                <w:sz w:val="20"/>
                <w:highlight w:val="red"/>
              </w:rPr>
              <w:t>15</w:t>
            </w:r>
          </w:p>
        </w:tc>
        <w:tc>
          <w:tcPr>
            <w:tcW w:w="1276" w:type="dxa"/>
            <w:tcBorders>
              <w:bottom w:val="single" w:sz="4" w:space="0" w:color="auto"/>
            </w:tcBorders>
            <w:shd w:val="clear" w:color="auto" w:fill="FF0000"/>
            <w:vAlign w:val="center"/>
          </w:tcPr>
          <w:p w14:paraId="7EB41881" w14:textId="77777777" w:rsidR="00E902A8" w:rsidRPr="00E902A8" w:rsidRDefault="00E902A8" w:rsidP="00093662">
            <w:pPr>
              <w:jc w:val="center"/>
              <w:rPr>
                <w:rFonts w:cs="Arial"/>
                <w:b/>
                <w:bCs/>
                <w:sz w:val="20"/>
                <w:highlight w:val="red"/>
              </w:rPr>
            </w:pPr>
            <w:r w:rsidRPr="00E902A8">
              <w:rPr>
                <w:rFonts w:cs="Arial"/>
                <w:b/>
                <w:bCs/>
                <w:sz w:val="20"/>
                <w:highlight w:val="red"/>
              </w:rPr>
              <w:t>12</w:t>
            </w:r>
          </w:p>
        </w:tc>
        <w:tc>
          <w:tcPr>
            <w:tcW w:w="1275" w:type="dxa"/>
            <w:tcBorders>
              <w:bottom w:val="single" w:sz="4" w:space="0" w:color="auto"/>
            </w:tcBorders>
            <w:shd w:val="clear" w:color="auto" w:fill="FFFF00"/>
            <w:vAlign w:val="center"/>
          </w:tcPr>
          <w:p w14:paraId="5E1D0353" w14:textId="77777777" w:rsidR="00E902A8" w:rsidRPr="00E902A8" w:rsidRDefault="00E902A8" w:rsidP="00093662">
            <w:pPr>
              <w:jc w:val="center"/>
              <w:rPr>
                <w:rFonts w:cs="Arial"/>
                <w:b/>
                <w:bCs/>
                <w:sz w:val="20"/>
                <w:highlight w:val="yellow"/>
              </w:rPr>
            </w:pPr>
            <w:r w:rsidRPr="00E902A8">
              <w:rPr>
                <w:rFonts w:cs="Arial"/>
                <w:b/>
                <w:bCs/>
                <w:sz w:val="20"/>
                <w:highlight w:val="yellow"/>
              </w:rPr>
              <w:t>9</w:t>
            </w:r>
          </w:p>
        </w:tc>
        <w:tc>
          <w:tcPr>
            <w:tcW w:w="1276" w:type="dxa"/>
            <w:tcBorders>
              <w:bottom w:val="single" w:sz="4" w:space="0" w:color="auto"/>
              <w:right w:val="single" w:sz="4" w:space="0" w:color="auto"/>
            </w:tcBorders>
            <w:shd w:val="clear" w:color="auto" w:fill="00FF00"/>
            <w:vAlign w:val="center"/>
          </w:tcPr>
          <w:p w14:paraId="1A1567BD" w14:textId="77777777" w:rsidR="00E902A8" w:rsidRPr="00E902A8" w:rsidRDefault="00E902A8" w:rsidP="00093662">
            <w:pPr>
              <w:jc w:val="center"/>
              <w:rPr>
                <w:rFonts w:cs="Arial"/>
                <w:b/>
                <w:bCs/>
                <w:sz w:val="20"/>
                <w:highlight w:val="yellow"/>
              </w:rPr>
            </w:pPr>
            <w:r w:rsidRPr="00E902A8">
              <w:rPr>
                <w:rFonts w:cs="Arial"/>
                <w:b/>
                <w:bCs/>
                <w:sz w:val="20"/>
                <w:highlight w:val="green"/>
              </w:rPr>
              <w:t>6</w:t>
            </w:r>
          </w:p>
        </w:tc>
        <w:tc>
          <w:tcPr>
            <w:tcW w:w="1247" w:type="dxa"/>
            <w:tcBorders>
              <w:top w:val="single" w:sz="4" w:space="0" w:color="auto"/>
              <w:left w:val="single" w:sz="4" w:space="0" w:color="auto"/>
              <w:bottom w:val="single" w:sz="4" w:space="0" w:color="auto"/>
              <w:right w:val="single" w:sz="4" w:space="0" w:color="auto"/>
            </w:tcBorders>
            <w:shd w:val="clear" w:color="auto" w:fill="00FF00"/>
            <w:vAlign w:val="center"/>
          </w:tcPr>
          <w:p w14:paraId="4239764E" w14:textId="77777777" w:rsidR="00E902A8" w:rsidRPr="00E902A8" w:rsidRDefault="00E902A8" w:rsidP="00093662">
            <w:pPr>
              <w:jc w:val="center"/>
              <w:rPr>
                <w:rFonts w:cs="Arial"/>
                <w:b/>
                <w:bCs/>
                <w:sz w:val="20"/>
                <w:highlight w:val="green"/>
              </w:rPr>
            </w:pPr>
            <w:r w:rsidRPr="00E902A8">
              <w:rPr>
                <w:rFonts w:cs="Arial"/>
                <w:b/>
                <w:bCs/>
                <w:sz w:val="20"/>
                <w:highlight w:val="green"/>
              </w:rPr>
              <w:t>3</w:t>
            </w:r>
          </w:p>
        </w:tc>
      </w:tr>
      <w:tr w:rsidR="00E902A8" w:rsidRPr="00E902A8" w14:paraId="4B567792" w14:textId="77777777" w:rsidTr="00C422BF">
        <w:trPr>
          <w:trHeight w:val="1020"/>
          <w:jc w:val="center"/>
        </w:trPr>
        <w:tc>
          <w:tcPr>
            <w:tcW w:w="1692" w:type="dxa"/>
            <w:vAlign w:val="center"/>
          </w:tcPr>
          <w:p w14:paraId="0E8CC2D0" w14:textId="77777777" w:rsidR="00E902A8" w:rsidRPr="00E902A8" w:rsidRDefault="00E902A8" w:rsidP="00093662">
            <w:pPr>
              <w:jc w:val="center"/>
              <w:rPr>
                <w:rFonts w:cs="Arial"/>
                <w:sz w:val="20"/>
              </w:rPr>
            </w:pPr>
            <w:r w:rsidRPr="00E902A8">
              <w:rPr>
                <w:rFonts w:cs="Arial"/>
                <w:sz w:val="20"/>
              </w:rPr>
              <w:t>Minor Injury (off site treatment)</w:t>
            </w:r>
          </w:p>
        </w:tc>
        <w:tc>
          <w:tcPr>
            <w:tcW w:w="1216" w:type="dxa"/>
            <w:vAlign w:val="center"/>
          </w:tcPr>
          <w:p w14:paraId="491A6746" w14:textId="77777777" w:rsidR="00E902A8" w:rsidRPr="00E902A8" w:rsidRDefault="00E902A8" w:rsidP="00093662">
            <w:pPr>
              <w:jc w:val="center"/>
              <w:rPr>
                <w:rFonts w:cs="Arial"/>
                <w:sz w:val="20"/>
              </w:rPr>
            </w:pPr>
            <w:r w:rsidRPr="00E902A8">
              <w:rPr>
                <w:rFonts w:cs="Arial"/>
                <w:sz w:val="20"/>
              </w:rPr>
              <w:t>2</w:t>
            </w:r>
          </w:p>
        </w:tc>
        <w:tc>
          <w:tcPr>
            <w:tcW w:w="1340" w:type="dxa"/>
            <w:tcBorders>
              <w:bottom w:val="single" w:sz="4" w:space="0" w:color="auto"/>
            </w:tcBorders>
            <w:shd w:val="clear" w:color="auto" w:fill="FFFF00"/>
            <w:vAlign w:val="center"/>
          </w:tcPr>
          <w:p w14:paraId="14F8CDBC" w14:textId="77777777" w:rsidR="00E902A8" w:rsidRPr="00E902A8" w:rsidRDefault="00E902A8" w:rsidP="00093662">
            <w:pPr>
              <w:jc w:val="center"/>
              <w:rPr>
                <w:rFonts w:cs="Arial"/>
                <w:b/>
                <w:bCs/>
                <w:sz w:val="20"/>
                <w:highlight w:val="yellow"/>
              </w:rPr>
            </w:pPr>
            <w:r w:rsidRPr="00E902A8">
              <w:rPr>
                <w:rFonts w:cs="Arial"/>
                <w:b/>
                <w:bCs/>
                <w:sz w:val="20"/>
                <w:highlight w:val="yellow"/>
              </w:rPr>
              <w:t>10</w:t>
            </w:r>
          </w:p>
        </w:tc>
        <w:tc>
          <w:tcPr>
            <w:tcW w:w="1276" w:type="dxa"/>
            <w:tcBorders>
              <w:bottom w:val="single" w:sz="4" w:space="0" w:color="auto"/>
            </w:tcBorders>
            <w:shd w:val="clear" w:color="auto" w:fill="FFFF00"/>
            <w:vAlign w:val="center"/>
          </w:tcPr>
          <w:p w14:paraId="27F96EF4" w14:textId="77777777" w:rsidR="00E902A8" w:rsidRPr="00E902A8" w:rsidRDefault="00E902A8" w:rsidP="00093662">
            <w:pPr>
              <w:jc w:val="center"/>
              <w:rPr>
                <w:rFonts w:cs="Arial"/>
                <w:b/>
                <w:bCs/>
                <w:sz w:val="20"/>
                <w:highlight w:val="yellow"/>
              </w:rPr>
            </w:pPr>
            <w:r w:rsidRPr="00E902A8">
              <w:rPr>
                <w:rFonts w:cs="Arial"/>
                <w:b/>
                <w:bCs/>
                <w:sz w:val="20"/>
                <w:highlight w:val="yellow"/>
              </w:rPr>
              <w:t>8</w:t>
            </w:r>
          </w:p>
        </w:tc>
        <w:tc>
          <w:tcPr>
            <w:tcW w:w="1275" w:type="dxa"/>
            <w:tcBorders>
              <w:bottom w:val="single" w:sz="4" w:space="0" w:color="auto"/>
            </w:tcBorders>
            <w:shd w:val="clear" w:color="auto" w:fill="00FF00"/>
            <w:vAlign w:val="center"/>
          </w:tcPr>
          <w:p w14:paraId="27224F53" w14:textId="77777777" w:rsidR="00E902A8" w:rsidRPr="00E902A8" w:rsidRDefault="00E902A8" w:rsidP="00093662">
            <w:pPr>
              <w:jc w:val="center"/>
              <w:rPr>
                <w:rFonts w:cs="Arial"/>
                <w:b/>
                <w:bCs/>
                <w:sz w:val="20"/>
                <w:highlight w:val="yellow"/>
              </w:rPr>
            </w:pPr>
            <w:r w:rsidRPr="00E902A8">
              <w:rPr>
                <w:rFonts w:cs="Arial"/>
                <w:b/>
                <w:bCs/>
                <w:sz w:val="20"/>
                <w:highlight w:val="green"/>
              </w:rPr>
              <w:t>6</w:t>
            </w:r>
          </w:p>
        </w:tc>
        <w:tc>
          <w:tcPr>
            <w:tcW w:w="1276" w:type="dxa"/>
            <w:tcBorders>
              <w:bottom w:val="single" w:sz="4" w:space="0" w:color="auto"/>
              <w:right w:val="single" w:sz="4" w:space="0" w:color="auto"/>
            </w:tcBorders>
            <w:shd w:val="clear" w:color="auto" w:fill="00FF00"/>
            <w:vAlign w:val="center"/>
          </w:tcPr>
          <w:p w14:paraId="6A49DDF8" w14:textId="77777777" w:rsidR="00E902A8" w:rsidRPr="00E902A8" w:rsidRDefault="00E902A8" w:rsidP="00093662">
            <w:pPr>
              <w:jc w:val="center"/>
              <w:rPr>
                <w:rFonts w:cs="Arial"/>
                <w:b/>
                <w:bCs/>
                <w:sz w:val="20"/>
                <w:highlight w:val="green"/>
              </w:rPr>
            </w:pPr>
            <w:r w:rsidRPr="00E902A8">
              <w:rPr>
                <w:rFonts w:cs="Arial"/>
                <w:b/>
                <w:bCs/>
                <w:sz w:val="20"/>
                <w:highlight w:val="green"/>
              </w:rPr>
              <w:t>4</w:t>
            </w:r>
          </w:p>
        </w:tc>
        <w:tc>
          <w:tcPr>
            <w:tcW w:w="1247" w:type="dxa"/>
            <w:tcBorders>
              <w:top w:val="single" w:sz="4" w:space="0" w:color="auto"/>
              <w:left w:val="single" w:sz="4" w:space="0" w:color="auto"/>
              <w:bottom w:val="single" w:sz="4" w:space="0" w:color="auto"/>
              <w:right w:val="single" w:sz="4" w:space="0" w:color="auto"/>
            </w:tcBorders>
            <w:shd w:val="clear" w:color="auto" w:fill="00FF00"/>
            <w:vAlign w:val="center"/>
          </w:tcPr>
          <w:p w14:paraId="2ED5637D" w14:textId="77777777" w:rsidR="00E902A8" w:rsidRPr="00E902A8" w:rsidRDefault="00E902A8" w:rsidP="00093662">
            <w:pPr>
              <w:jc w:val="center"/>
              <w:rPr>
                <w:rFonts w:cs="Arial"/>
                <w:b/>
                <w:bCs/>
                <w:sz w:val="20"/>
                <w:highlight w:val="green"/>
              </w:rPr>
            </w:pPr>
            <w:r w:rsidRPr="00E902A8">
              <w:rPr>
                <w:rFonts w:cs="Arial"/>
                <w:b/>
                <w:bCs/>
                <w:sz w:val="20"/>
                <w:highlight w:val="green"/>
              </w:rPr>
              <w:t>2</w:t>
            </w:r>
          </w:p>
        </w:tc>
      </w:tr>
      <w:tr w:rsidR="00E902A8" w:rsidRPr="00E902A8" w14:paraId="0579F292" w14:textId="77777777" w:rsidTr="00C422BF">
        <w:trPr>
          <w:trHeight w:val="1020"/>
          <w:jc w:val="center"/>
        </w:trPr>
        <w:tc>
          <w:tcPr>
            <w:tcW w:w="1692" w:type="dxa"/>
            <w:vAlign w:val="center"/>
          </w:tcPr>
          <w:p w14:paraId="4F35E89D" w14:textId="77777777" w:rsidR="00E902A8" w:rsidRPr="00E902A8" w:rsidRDefault="00E902A8" w:rsidP="00093662">
            <w:pPr>
              <w:jc w:val="center"/>
              <w:rPr>
                <w:rFonts w:cs="Arial"/>
                <w:sz w:val="20"/>
              </w:rPr>
            </w:pPr>
            <w:r w:rsidRPr="00E902A8">
              <w:rPr>
                <w:rFonts w:cs="Arial"/>
                <w:sz w:val="20"/>
              </w:rPr>
              <w:t>Minor Injury (on site treatment)</w:t>
            </w:r>
          </w:p>
        </w:tc>
        <w:tc>
          <w:tcPr>
            <w:tcW w:w="1216" w:type="dxa"/>
            <w:vAlign w:val="center"/>
          </w:tcPr>
          <w:p w14:paraId="6229C14D" w14:textId="77777777" w:rsidR="00E902A8" w:rsidRPr="00E902A8" w:rsidRDefault="00E902A8" w:rsidP="00093662">
            <w:pPr>
              <w:jc w:val="center"/>
              <w:rPr>
                <w:rFonts w:cs="Arial"/>
                <w:sz w:val="20"/>
              </w:rPr>
            </w:pPr>
            <w:r w:rsidRPr="00E902A8">
              <w:rPr>
                <w:rFonts w:cs="Arial"/>
                <w:sz w:val="20"/>
              </w:rPr>
              <w:t>1</w:t>
            </w:r>
          </w:p>
        </w:tc>
        <w:tc>
          <w:tcPr>
            <w:tcW w:w="1340" w:type="dxa"/>
            <w:shd w:val="clear" w:color="auto" w:fill="00FF00"/>
            <w:vAlign w:val="center"/>
          </w:tcPr>
          <w:p w14:paraId="76E980E2" w14:textId="77777777" w:rsidR="00E902A8" w:rsidRPr="00E902A8" w:rsidRDefault="00E902A8" w:rsidP="00093662">
            <w:pPr>
              <w:jc w:val="center"/>
              <w:rPr>
                <w:rFonts w:cs="Arial"/>
                <w:b/>
                <w:bCs/>
                <w:sz w:val="20"/>
              </w:rPr>
            </w:pPr>
            <w:r w:rsidRPr="00E902A8">
              <w:rPr>
                <w:rFonts w:cs="Arial"/>
                <w:b/>
                <w:bCs/>
                <w:sz w:val="20"/>
                <w:highlight w:val="green"/>
              </w:rPr>
              <w:t>5</w:t>
            </w:r>
          </w:p>
        </w:tc>
        <w:tc>
          <w:tcPr>
            <w:tcW w:w="1276" w:type="dxa"/>
            <w:shd w:val="clear" w:color="auto" w:fill="00FF00"/>
            <w:vAlign w:val="center"/>
          </w:tcPr>
          <w:p w14:paraId="77025D1A" w14:textId="77777777" w:rsidR="00E902A8" w:rsidRPr="00E902A8" w:rsidRDefault="00E902A8" w:rsidP="00093662">
            <w:pPr>
              <w:jc w:val="center"/>
              <w:rPr>
                <w:rFonts w:cs="Arial"/>
                <w:b/>
                <w:bCs/>
                <w:sz w:val="20"/>
                <w:highlight w:val="green"/>
              </w:rPr>
            </w:pPr>
            <w:r w:rsidRPr="00E902A8">
              <w:rPr>
                <w:rFonts w:cs="Arial"/>
                <w:b/>
                <w:bCs/>
                <w:sz w:val="20"/>
                <w:highlight w:val="green"/>
              </w:rPr>
              <w:t>4</w:t>
            </w:r>
          </w:p>
        </w:tc>
        <w:tc>
          <w:tcPr>
            <w:tcW w:w="1275" w:type="dxa"/>
            <w:shd w:val="clear" w:color="auto" w:fill="00FF00"/>
            <w:vAlign w:val="center"/>
          </w:tcPr>
          <w:p w14:paraId="30BAAA27" w14:textId="77777777" w:rsidR="00E902A8" w:rsidRPr="00E902A8" w:rsidRDefault="00E902A8" w:rsidP="00093662">
            <w:pPr>
              <w:jc w:val="center"/>
              <w:rPr>
                <w:rFonts w:cs="Arial"/>
                <w:b/>
                <w:bCs/>
                <w:sz w:val="20"/>
                <w:highlight w:val="green"/>
              </w:rPr>
            </w:pPr>
            <w:r w:rsidRPr="00E902A8">
              <w:rPr>
                <w:rFonts w:cs="Arial"/>
                <w:b/>
                <w:bCs/>
                <w:sz w:val="20"/>
                <w:highlight w:val="green"/>
              </w:rPr>
              <w:t>3</w:t>
            </w:r>
          </w:p>
        </w:tc>
        <w:tc>
          <w:tcPr>
            <w:tcW w:w="1276" w:type="dxa"/>
            <w:tcBorders>
              <w:right w:val="single" w:sz="4" w:space="0" w:color="auto"/>
            </w:tcBorders>
            <w:shd w:val="clear" w:color="auto" w:fill="00FF00"/>
            <w:vAlign w:val="center"/>
          </w:tcPr>
          <w:p w14:paraId="041E6FD1" w14:textId="77777777" w:rsidR="00E902A8" w:rsidRPr="00E902A8" w:rsidRDefault="00E902A8" w:rsidP="00093662">
            <w:pPr>
              <w:jc w:val="center"/>
              <w:rPr>
                <w:rFonts w:cs="Arial"/>
                <w:b/>
                <w:bCs/>
                <w:sz w:val="20"/>
                <w:highlight w:val="green"/>
              </w:rPr>
            </w:pPr>
            <w:r w:rsidRPr="00E902A8">
              <w:rPr>
                <w:rFonts w:cs="Arial"/>
                <w:b/>
                <w:bCs/>
                <w:sz w:val="20"/>
                <w:highlight w:val="green"/>
              </w:rPr>
              <w:t>2</w:t>
            </w:r>
          </w:p>
        </w:tc>
        <w:tc>
          <w:tcPr>
            <w:tcW w:w="1247" w:type="dxa"/>
            <w:tcBorders>
              <w:top w:val="single" w:sz="4" w:space="0" w:color="auto"/>
              <w:left w:val="single" w:sz="4" w:space="0" w:color="auto"/>
              <w:bottom w:val="single" w:sz="4" w:space="0" w:color="auto"/>
              <w:right w:val="single" w:sz="4" w:space="0" w:color="auto"/>
            </w:tcBorders>
            <w:shd w:val="clear" w:color="auto" w:fill="00FF00"/>
            <w:vAlign w:val="center"/>
          </w:tcPr>
          <w:p w14:paraId="1EB449A5" w14:textId="77777777" w:rsidR="00E902A8" w:rsidRPr="00E902A8" w:rsidRDefault="00E902A8" w:rsidP="00093662">
            <w:pPr>
              <w:jc w:val="center"/>
              <w:rPr>
                <w:rFonts w:cs="Arial"/>
                <w:b/>
                <w:bCs/>
                <w:sz w:val="20"/>
                <w:highlight w:val="green"/>
              </w:rPr>
            </w:pPr>
            <w:r w:rsidRPr="00E902A8">
              <w:rPr>
                <w:rFonts w:cs="Arial"/>
                <w:b/>
                <w:bCs/>
                <w:sz w:val="20"/>
                <w:highlight w:val="green"/>
              </w:rPr>
              <w:t>1</w:t>
            </w:r>
          </w:p>
        </w:tc>
      </w:tr>
    </w:tbl>
    <w:p w14:paraId="7BEEB5AA" w14:textId="7FA8F68B" w:rsidR="00854D28" w:rsidRDefault="00854D28" w:rsidP="00854D28"/>
    <w:tbl>
      <w:tblPr>
        <w:tblStyle w:val="Plain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610"/>
        <w:gridCol w:w="2923"/>
        <w:gridCol w:w="358"/>
        <w:gridCol w:w="350"/>
        <w:gridCol w:w="605"/>
      </w:tblGrid>
      <w:tr w:rsidR="00854D28" w14:paraId="418DF3F1" w14:textId="77777777" w:rsidTr="00890B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6"/>
            <w:tcBorders>
              <w:bottom w:val="none" w:sz="0" w:space="0" w:color="auto"/>
            </w:tcBorders>
            <w:hideMark/>
          </w:tcPr>
          <w:p w14:paraId="0FBC3019" w14:textId="77777777" w:rsidR="00854D28" w:rsidRDefault="00854D28">
            <w:pPr>
              <w:pStyle w:val="Heading1"/>
              <w:jc w:val="center"/>
              <w:outlineLvl w:val="0"/>
            </w:pPr>
            <w:r>
              <w:rPr>
                <w:sz w:val="20"/>
              </w:rPr>
              <w:t>Risk Assessment Details</w:t>
            </w:r>
          </w:p>
        </w:tc>
      </w:tr>
      <w:tr w:rsidR="002C671C" w14:paraId="3ED371AA" w14:textId="77777777" w:rsidTr="003C2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hideMark/>
          </w:tcPr>
          <w:p w14:paraId="7DD43B9D" w14:textId="77777777" w:rsidR="00854D28" w:rsidRDefault="00854D28">
            <w:pPr>
              <w:spacing w:before="240" w:after="240"/>
              <w:jc w:val="center"/>
              <w:rPr>
                <w:b w:val="0"/>
                <w:sz w:val="20"/>
              </w:rPr>
            </w:pPr>
            <w:r>
              <w:rPr>
                <w:b w:val="0"/>
                <w:sz w:val="20"/>
              </w:rPr>
              <w:t>Activity</w:t>
            </w:r>
          </w:p>
        </w:tc>
        <w:tc>
          <w:tcPr>
            <w:tcW w:w="3610" w:type="dxa"/>
            <w:hideMark/>
          </w:tcPr>
          <w:p w14:paraId="51FFF8C9" w14:textId="77777777" w:rsidR="00854D28" w:rsidRDefault="00854D28">
            <w:pPr>
              <w:spacing w:before="240" w:after="240"/>
              <w:jc w:val="center"/>
              <w:cnfStyle w:val="000000100000" w:firstRow="0" w:lastRow="0" w:firstColumn="0" w:lastColumn="0" w:oddVBand="0" w:evenVBand="0" w:oddHBand="1" w:evenHBand="0" w:firstRowFirstColumn="0" w:firstRowLastColumn="0" w:lastRowFirstColumn="0" w:lastRowLastColumn="0"/>
              <w:rPr>
                <w:sz w:val="20"/>
              </w:rPr>
            </w:pPr>
            <w:r>
              <w:rPr>
                <w:sz w:val="20"/>
              </w:rPr>
              <w:t>Hazard</w:t>
            </w:r>
          </w:p>
        </w:tc>
        <w:tc>
          <w:tcPr>
            <w:tcW w:w="2923" w:type="dxa"/>
            <w:hideMark/>
          </w:tcPr>
          <w:p w14:paraId="63F80F82" w14:textId="77777777" w:rsidR="00854D28" w:rsidRDefault="00854D28">
            <w:pPr>
              <w:spacing w:before="240" w:after="240"/>
              <w:jc w:val="center"/>
              <w:cnfStyle w:val="000000100000" w:firstRow="0" w:lastRow="0" w:firstColumn="0" w:lastColumn="0" w:oddVBand="0" w:evenVBand="0" w:oddHBand="1" w:evenHBand="0" w:firstRowFirstColumn="0" w:firstRowLastColumn="0" w:lastRowFirstColumn="0" w:lastRowLastColumn="0"/>
              <w:rPr>
                <w:sz w:val="20"/>
              </w:rPr>
            </w:pPr>
            <w:r>
              <w:rPr>
                <w:sz w:val="20"/>
              </w:rPr>
              <w:t>Control Measures</w:t>
            </w:r>
          </w:p>
        </w:tc>
        <w:tc>
          <w:tcPr>
            <w:tcW w:w="358" w:type="dxa"/>
            <w:hideMark/>
          </w:tcPr>
          <w:p w14:paraId="3E77DBEC" w14:textId="77777777" w:rsidR="00854D28" w:rsidRDefault="00854D28">
            <w:pPr>
              <w:spacing w:before="240" w:after="240"/>
              <w:jc w:val="center"/>
              <w:cnfStyle w:val="000000100000" w:firstRow="0" w:lastRow="0" w:firstColumn="0" w:lastColumn="0" w:oddVBand="0" w:evenVBand="0" w:oddHBand="1" w:evenHBand="0" w:firstRowFirstColumn="0" w:firstRowLastColumn="0" w:lastRowFirstColumn="0" w:lastRowLastColumn="0"/>
              <w:rPr>
                <w:sz w:val="20"/>
              </w:rPr>
            </w:pPr>
            <w:r>
              <w:rPr>
                <w:sz w:val="20"/>
              </w:rPr>
              <w:t>S</w:t>
            </w:r>
          </w:p>
        </w:tc>
        <w:tc>
          <w:tcPr>
            <w:tcW w:w="350" w:type="dxa"/>
            <w:hideMark/>
          </w:tcPr>
          <w:p w14:paraId="173CC394" w14:textId="77777777" w:rsidR="00854D28" w:rsidRDefault="00854D28">
            <w:pPr>
              <w:spacing w:before="240" w:after="240"/>
              <w:jc w:val="center"/>
              <w:cnfStyle w:val="000000100000" w:firstRow="0" w:lastRow="0" w:firstColumn="0" w:lastColumn="0" w:oddVBand="0" w:evenVBand="0" w:oddHBand="1" w:evenHBand="0" w:firstRowFirstColumn="0" w:firstRowLastColumn="0" w:lastRowFirstColumn="0" w:lastRowLastColumn="0"/>
              <w:rPr>
                <w:sz w:val="20"/>
              </w:rPr>
            </w:pPr>
            <w:r>
              <w:rPr>
                <w:sz w:val="20"/>
              </w:rPr>
              <w:t>L</w:t>
            </w:r>
          </w:p>
        </w:tc>
        <w:tc>
          <w:tcPr>
            <w:tcW w:w="605" w:type="dxa"/>
            <w:hideMark/>
          </w:tcPr>
          <w:p w14:paraId="1127CC40" w14:textId="77777777" w:rsidR="00854D28" w:rsidRDefault="00854D28">
            <w:pPr>
              <w:spacing w:before="240" w:after="240"/>
              <w:jc w:val="center"/>
              <w:cnfStyle w:val="000000100000" w:firstRow="0" w:lastRow="0" w:firstColumn="0" w:lastColumn="0" w:oddVBand="0" w:evenVBand="0" w:oddHBand="1" w:evenHBand="0" w:firstRowFirstColumn="0" w:firstRowLastColumn="0" w:lastRowFirstColumn="0" w:lastRowLastColumn="0"/>
              <w:rPr>
                <w:sz w:val="20"/>
              </w:rPr>
            </w:pPr>
            <w:r>
              <w:rPr>
                <w:sz w:val="20"/>
              </w:rPr>
              <w:t>Risk</w:t>
            </w:r>
          </w:p>
        </w:tc>
      </w:tr>
      <w:tr w:rsidR="002C671C" w:rsidRPr="003C260C" w14:paraId="3084206E" w14:textId="77777777" w:rsidTr="003C260C">
        <w:trPr>
          <w:trHeight w:val="1302"/>
        </w:trPr>
        <w:tc>
          <w:tcPr>
            <w:cnfStyle w:val="001000000000" w:firstRow="0" w:lastRow="0" w:firstColumn="1" w:lastColumn="0" w:oddVBand="0" w:evenVBand="0" w:oddHBand="0" w:evenHBand="0" w:firstRowFirstColumn="0" w:firstRowLastColumn="0" w:lastRowFirstColumn="0" w:lastRowLastColumn="0"/>
            <w:tcW w:w="1476" w:type="dxa"/>
          </w:tcPr>
          <w:p w14:paraId="6FB0BA40" w14:textId="104F238E" w:rsidR="00FD4E95" w:rsidRPr="00093662" w:rsidRDefault="00093662">
            <w:pPr>
              <w:rPr>
                <w:sz w:val="22"/>
                <w:szCs w:val="18"/>
              </w:rPr>
            </w:pPr>
            <w:r w:rsidRPr="00093662">
              <w:rPr>
                <w:sz w:val="22"/>
                <w:szCs w:val="18"/>
              </w:rPr>
              <w:t xml:space="preserve">Work on customer premises </w:t>
            </w:r>
          </w:p>
        </w:tc>
        <w:tc>
          <w:tcPr>
            <w:tcW w:w="3610" w:type="dxa"/>
          </w:tcPr>
          <w:p w14:paraId="69E616CB" w14:textId="038974FF" w:rsidR="00FD4E95" w:rsidRDefault="00093662">
            <w:pPr>
              <w:cnfStyle w:val="000000000000" w:firstRow="0" w:lastRow="0" w:firstColumn="0" w:lastColumn="0" w:oddVBand="0" w:evenVBand="0" w:oddHBand="0" w:evenHBand="0" w:firstRowFirstColumn="0" w:firstRowLastColumn="0" w:lastRowFirstColumn="0" w:lastRowLastColumn="0"/>
            </w:pPr>
            <w:r>
              <w:rPr>
                <w:sz w:val="20"/>
              </w:rPr>
              <w:t>Working in an environment where the Coronavirus could be transmitted.</w:t>
            </w:r>
          </w:p>
        </w:tc>
        <w:tc>
          <w:tcPr>
            <w:tcW w:w="2923" w:type="dxa"/>
          </w:tcPr>
          <w:p w14:paraId="47542A60" w14:textId="77777777" w:rsidR="006B0B20" w:rsidRDefault="006B0B20">
            <w:pPr>
              <w:cnfStyle w:val="000000000000" w:firstRow="0" w:lastRow="0" w:firstColumn="0" w:lastColumn="0" w:oddVBand="0" w:evenVBand="0" w:oddHBand="0" w:evenHBand="0" w:firstRowFirstColumn="0" w:firstRowLastColumn="0" w:lastRowFirstColumn="0" w:lastRowLastColumn="0"/>
              <w:rPr>
                <w:sz w:val="20"/>
              </w:rPr>
            </w:pPr>
            <w:r w:rsidRPr="006B0B20">
              <w:rPr>
                <w:sz w:val="20"/>
              </w:rPr>
              <w:t xml:space="preserve">PPE </w:t>
            </w:r>
            <w:r>
              <w:rPr>
                <w:sz w:val="20"/>
              </w:rPr>
              <w:t xml:space="preserve">to be worn if any contact with other persons is required. Employees to follow guidance issued when selecting PPE, e.g. recognising the difference between FFP2/3 masks and face-coverings. </w:t>
            </w:r>
          </w:p>
          <w:p w14:paraId="2C45958C" w14:textId="77777777" w:rsidR="006B0B20" w:rsidRDefault="006B0B20">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PPE should be worn during sign in/induction or any other close-contact situations. </w:t>
            </w:r>
          </w:p>
          <w:p w14:paraId="0B44B66D" w14:textId="77777777" w:rsidR="006B0B20" w:rsidRDefault="006B0B20">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Compliance with all government, Grundfos and client controls is mandatory, and basic infection risk management strategies should be employed, e.g. regular hand washing; and use of hand gel where hand washing facilities are not available. Do not touch face, eyes or nose whilst working/with uncleaned hands. </w:t>
            </w:r>
          </w:p>
          <w:p w14:paraId="5448F6F8" w14:textId="77777777" w:rsidR="006B0B20" w:rsidRDefault="003C260C">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Disinfect all regularly touched surfaces, e.g. steering wheel, tools, door handles etc. following best practice guidance. </w:t>
            </w:r>
          </w:p>
          <w:p w14:paraId="49C7BC55" w14:textId="77777777" w:rsidR="003C260C" w:rsidRDefault="003C260C">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Maintain social distancing at all times and ensure no contact such as hand-shaking is carried out. </w:t>
            </w:r>
          </w:p>
          <w:p w14:paraId="3B05592A" w14:textId="74068AC4" w:rsidR="003C260C" w:rsidRPr="003C260C" w:rsidRDefault="003C260C">
            <w:pPr>
              <w:cnfStyle w:val="000000000000" w:firstRow="0" w:lastRow="0" w:firstColumn="0" w:lastColumn="0" w:oddVBand="0" w:evenVBand="0" w:oddHBand="0" w:evenHBand="0" w:firstRowFirstColumn="0" w:firstRowLastColumn="0" w:lastRowFirstColumn="0" w:lastRowLastColumn="0"/>
              <w:rPr>
                <w:sz w:val="20"/>
              </w:rPr>
            </w:pPr>
            <w:r w:rsidRPr="003C260C">
              <w:rPr>
                <w:sz w:val="20"/>
              </w:rPr>
              <w:t>Utilize Grundfos-issued keyring for ope</w:t>
            </w:r>
            <w:r>
              <w:rPr>
                <w:sz w:val="20"/>
              </w:rPr>
              <w:t xml:space="preserve">ning doors, touching chip and pin etc. </w:t>
            </w:r>
          </w:p>
        </w:tc>
        <w:tc>
          <w:tcPr>
            <w:tcW w:w="358" w:type="dxa"/>
          </w:tcPr>
          <w:p w14:paraId="573A7DEB" w14:textId="3A0689F3" w:rsidR="00FD4E95" w:rsidRPr="003C260C" w:rsidRDefault="003C260C">
            <w:pPr>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79FD7C28" w14:textId="27E70153" w:rsidR="00FD4E95" w:rsidRPr="003C260C" w:rsidRDefault="003C260C">
            <w:pPr>
              <w:jc w:val="center"/>
              <w:cnfStyle w:val="000000000000" w:firstRow="0" w:lastRow="0" w:firstColumn="0" w:lastColumn="0" w:oddVBand="0" w:evenVBand="0" w:oddHBand="0" w:evenHBand="0" w:firstRowFirstColumn="0" w:firstRowLastColumn="0" w:lastRowFirstColumn="0" w:lastRowLastColumn="0"/>
            </w:pPr>
            <w:r>
              <w:t>2</w:t>
            </w:r>
          </w:p>
        </w:tc>
        <w:tc>
          <w:tcPr>
            <w:tcW w:w="605" w:type="dxa"/>
            <w:shd w:val="clear" w:color="auto" w:fill="FFFF00"/>
          </w:tcPr>
          <w:p w14:paraId="0C90F7EE" w14:textId="52BCD6CC" w:rsidR="00FD4E95" w:rsidRPr="003C260C" w:rsidRDefault="003C260C">
            <w:pPr>
              <w:jc w:val="center"/>
              <w:cnfStyle w:val="000000000000" w:firstRow="0" w:lastRow="0" w:firstColumn="0" w:lastColumn="0" w:oddVBand="0" w:evenVBand="0" w:oddHBand="0" w:evenHBand="0" w:firstRowFirstColumn="0" w:firstRowLastColumn="0" w:lastRowFirstColumn="0" w:lastRowLastColumn="0"/>
            </w:pPr>
            <w:r>
              <w:t>10</w:t>
            </w:r>
          </w:p>
        </w:tc>
      </w:tr>
      <w:tr w:rsidR="002C671C" w14:paraId="5297D57A" w14:textId="77777777" w:rsidTr="003C2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57DCF3ED" w14:textId="4734F7BB" w:rsidR="00FD4E95" w:rsidRPr="00093662" w:rsidRDefault="00093662">
            <w:pPr>
              <w:rPr>
                <w:sz w:val="22"/>
                <w:szCs w:val="18"/>
              </w:rPr>
            </w:pPr>
            <w:r w:rsidRPr="00093662">
              <w:rPr>
                <w:sz w:val="22"/>
                <w:szCs w:val="18"/>
              </w:rPr>
              <w:t>Work on customer premises</w:t>
            </w:r>
          </w:p>
        </w:tc>
        <w:tc>
          <w:tcPr>
            <w:tcW w:w="3610" w:type="dxa"/>
          </w:tcPr>
          <w:p w14:paraId="5286AE60" w14:textId="23B823DB" w:rsidR="00FD4E95" w:rsidRDefault="00093662">
            <w:pPr>
              <w:cnfStyle w:val="000000100000" w:firstRow="0" w:lastRow="0" w:firstColumn="0" w:lastColumn="0" w:oddVBand="0" w:evenVBand="0" w:oddHBand="1" w:evenHBand="0" w:firstRowFirstColumn="0" w:firstRowLastColumn="0" w:lastRowFirstColumn="0" w:lastRowLastColumn="0"/>
            </w:pPr>
            <w:r w:rsidRPr="00093662">
              <w:rPr>
                <w:sz w:val="20"/>
              </w:rPr>
              <w:t>Con</w:t>
            </w:r>
            <w:r>
              <w:rPr>
                <w:sz w:val="20"/>
              </w:rPr>
              <w:t xml:space="preserve">firmed case on customer site since visit. </w:t>
            </w:r>
          </w:p>
        </w:tc>
        <w:tc>
          <w:tcPr>
            <w:tcW w:w="2923" w:type="dxa"/>
          </w:tcPr>
          <w:p w14:paraId="05064125" w14:textId="0E3008F1" w:rsidR="003C260C" w:rsidRDefault="003C260C">
            <w:pPr>
              <w:cnfStyle w:val="000000100000" w:firstRow="0" w:lastRow="0" w:firstColumn="0" w:lastColumn="0" w:oddVBand="0" w:evenVBand="0" w:oddHBand="1" w:evenHBand="0" w:firstRowFirstColumn="0" w:firstRowLastColumn="0" w:lastRowFirstColumn="0" w:lastRowLastColumn="0"/>
              <w:rPr>
                <w:sz w:val="20"/>
              </w:rPr>
            </w:pPr>
            <w:r>
              <w:rPr>
                <w:sz w:val="20"/>
              </w:rPr>
              <w:t>Pre-visit checks for confirmed cases are carried out by the front-end team when booking jobs. Engineers then complete on-site COVID-19 risk assessment which mandatory before entering premises.</w:t>
            </w:r>
          </w:p>
          <w:p w14:paraId="63D3C4F0" w14:textId="7BB8587D" w:rsidR="003C260C" w:rsidRDefault="003C260C">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If a confirmed case is identified after leaving site, the following will apply: </w:t>
            </w:r>
          </w:p>
          <w:p w14:paraId="00F957A7" w14:textId="351F18C6" w:rsidR="003C260C" w:rsidRDefault="003C260C">
            <w:pPr>
              <w:cnfStyle w:val="000000100000" w:firstRow="0" w:lastRow="0" w:firstColumn="0" w:lastColumn="0" w:oddVBand="0" w:evenVBand="0" w:oddHBand="1" w:evenHBand="0" w:firstRowFirstColumn="0" w:firstRowLastColumn="0" w:lastRowFirstColumn="0" w:lastRowLastColumn="0"/>
              <w:rPr>
                <w:sz w:val="20"/>
              </w:rPr>
            </w:pPr>
            <w:r w:rsidRPr="003C260C">
              <w:rPr>
                <w:sz w:val="20"/>
              </w:rPr>
              <w:t xml:space="preserve">All </w:t>
            </w:r>
            <w:r>
              <w:rPr>
                <w:sz w:val="20"/>
              </w:rPr>
              <w:t xml:space="preserve">visits are logged in PROFIS, with full details of customer site and engineers/staff in attendance. Non-PROFIS work captured in visit request from. </w:t>
            </w:r>
          </w:p>
          <w:p w14:paraId="33F72CFF" w14:textId="77777777" w:rsidR="003C260C" w:rsidRDefault="003C260C">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Any staff who may have come into contact with confirmed </w:t>
            </w:r>
            <w:r>
              <w:rPr>
                <w:sz w:val="20"/>
              </w:rPr>
              <w:lastRenderedPageBreak/>
              <w:t xml:space="preserve">case will be immediately quarantined and tested. </w:t>
            </w:r>
          </w:p>
          <w:p w14:paraId="13DC8C91" w14:textId="28147D7E" w:rsidR="003C260C" w:rsidRPr="003C260C" w:rsidRDefault="003C260C">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Anyone else they have come into contact with will also be contacted using Grundfos track and trace protocol. </w:t>
            </w:r>
          </w:p>
        </w:tc>
        <w:tc>
          <w:tcPr>
            <w:tcW w:w="358" w:type="dxa"/>
          </w:tcPr>
          <w:p w14:paraId="0F095B8A" w14:textId="104A66C5" w:rsidR="00FD4E95" w:rsidRDefault="003C260C">
            <w:pPr>
              <w:jc w:val="center"/>
              <w:cnfStyle w:val="000000100000" w:firstRow="0" w:lastRow="0" w:firstColumn="0" w:lastColumn="0" w:oddVBand="0" w:evenVBand="0" w:oddHBand="1" w:evenHBand="0" w:firstRowFirstColumn="0" w:firstRowLastColumn="0" w:lastRowFirstColumn="0" w:lastRowLastColumn="0"/>
            </w:pPr>
            <w:r>
              <w:lastRenderedPageBreak/>
              <w:t>5</w:t>
            </w:r>
          </w:p>
        </w:tc>
        <w:tc>
          <w:tcPr>
            <w:tcW w:w="0" w:type="auto"/>
          </w:tcPr>
          <w:p w14:paraId="75096DD5" w14:textId="115559ED" w:rsidR="00FD4E95" w:rsidRDefault="003C260C">
            <w:pPr>
              <w:jc w:val="center"/>
              <w:cnfStyle w:val="000000100000" w:firstRow="0" w:lastRow="0" w:firstColumn="0" w:lastColumn="0" w:oddVBand="0" w:evenVBand="0" w:oddHBand="1" w:evenHBand="0" w:firstRowFirstColumn="0" w:firstRowLastColumn="0" w:lastRowFirstColumn="0" w:lastRowLastColumn="0"/>
            </w:pPr>
            <w:r>
              <w:t>2</w:t>
            </w:r>
          </w:p>
        </w:tc>
        <w:tc>
          <w:tcPr>
            <w:tcW w:w="605" w:type="dxa"/>
            <w:shd w:val="clear" w:color="auto" w:fill="FFFF00"/>
          </w:tcPr>
          <w:p w14:paraId="05C78722" w14:textId="2CC1AFF6" w:rsidR="00FD4E95" w:rsidRDefault="003C260C">
            <w:pPr>
              <w:jc w:val="center"/>
              <w:cnfStyle w:val="000000100000" w:firstRow="0" w:lastRow="0" w:firstColumn="0" w:lastColumn="0" w:oddVBand="0" w:evenVBand="0" w:oddHBand="1" w:evenHBand="0" w:firstRowFirstColumn="0" w:firstRowLastColumn="0" w:lastRowFirstColumn="0" w:lastRowLastColumn="0"/>
            </w:pPr>
            <w:r>
              <w:t>10</w:t>
            </w:r>
          </w:p>
        </w:tc>
      </w:tr>
      <w:tr w:rsidR="002C671C" w14:paraId="192EB097" w14:textId="77777777" w:rsidTr="003C260C">
        <w:tc>
          <w:tcPr>
            <w:cnfStyle w:val="001000000000" w:firstRow="0" w:lastRow="0" w:firstColumn="1" w:lastColumn="0" w:oddVBand="0" w:evenVBand="0" w:oddHBand="0" w:evenHBand="0" w:firstRowFirstColumn="0" w:firstRowLastColumn="0" w:lastRowFirstColumn="0" w:lastRowLastColumn="0"/>
            <w:tcW w:w="1476" w:type="dxa"/>
          </w:tcPr>
          <w:p w14:paraId="25E59704" w14:textId="46992D5A" w:rsidR="00FD4E95" w:rsidRDefault="00093662">
            <w:r w:rsidRPr="00093662">
              <w:rPr>
                <w:sz w:val="22"/>
                <w:szCs w:val="18"/>
              </w:rPr>
              <w:t>Work on customer premises</w:t>
            </w:r>
          </w:p>
        </w:tc>
        <w:tc>
          <w:tcPr>
            <w:tcW w:w="3610" w:type="dxa"/>
          </w:tcPr>
          <w:p w14:paraId="73DF4B4B" w14:textId="4EAFEFE2" w:rsidR="00FD4E95" w:rsidRDefault="00093662">
            <w:pPr>
              <w:cnfStyle w:val="000000000000" w:firstRow="0" w:lastRow="0" w:firstColumn="0" w:lastColumn="0" w:oddVBand="0" w:evenVBand="0" w:oddHBand="0" w:evenHBand="0" w:firstRowFirstColumn="0" w:firstRowLastColumn="0" w:lastRowFirstColumn="0" w:lastRowLastColumn="0"/>
            </w:pPr>
            <w:r w:rsidRPr="00093662">
              <w:rPr>
                <w:sz w:val="20"/>
              </w:rPr>
              <w:t>Grundfos employee develops symptoms of COVID-19</w:t>
            </w:r>
            <w:r>
              <w:t xml:space="preserve"> </w:t>
            </w:r>
          </w:p>
        </w:tc>
        <w:tc>
          <w:tcPr>
            <w:tcW w:w="2923" w:type="dxa"/>
          </w:tcPr>
          <w:p w14:paraId="58586A17" w14:textId="0A6EFFE3" w:rsidR="003C260C" w:rsidRPr="003C260C" w:rsidRDefault="003C260C">
            <w:pPr>
              <w:cnfStyle w:val="000000000000" w:firstRow="0" w:lastRow="0" w:firstColumn="0" w:lastColumn="0" w:oddVBand="0" w:evenVBand="0" w:oddHBand="0" w:evenHBand="0" w:firstRowFirstColumn="0" w:firstRowLastColumn="0" w:lastRowFirstColumn="0" w:lastRowLastColumn="0"/>
              <w:rPr>
                <w:sz w:val="20"/>
              </w:rPr>
            </w:pPr>
            <w:r w:rsidRPr="003C260C">
              <w:rPr>
                <w:sz w:val="20"/>
              </w:rPr>
              <w:t>Any em</w:t>
            </w:r>
            <w:r>
              <w:rPr>
                <w:sz w:val="20"/>
              </w:rPr>
              <w:t xml:space="preserve">ployee developing symptoms will be isolated immediately, and asked to quarantine until a test can be carried out. </w:t>
            </w:r>
          </w:p>
        </w:tc>
        <w:tc>
          <w:tcPr>
            <w:tcW w:w="358" w:type="dxa"/>
          </w:tcPr>
          <w:p w14:paraId="52EAD948" w14:textId="6FFD1CD7" w:rsidR="00FD4E95" w:rsidRDefault="003C260C">
            <w:pPr>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169E92B3" w14:textId="6A0013BD" w:rsidR="00FD4E95" w:rsidRDefault="003C260C">
            <w:pPr>
              <w:jc w:val="center"/>
              <w:cnfStyle w:val="000000000000" w:firstRow="0" w:lastRow="0" w:firstColumn="0" w:lastColumn="0" w:oddVBand="0" w:evenVBand="0" w:oddHBand="0" w:evenHBand="0" w:firstRowFirstColumn="0" w:firstRowLastColumn="0" w:lastRowFirstColumn="0" w:lastRowLastColumn="0"/>
            </w:pPr>
            <w:r>
              <w:t>1</w:t>
            </w:r>
          </w:p>
        </w:tc>
        <w:tc>
          <w:tcPr>
            <w:tcW w:w="605" w:type="dxa"/>
            <w:shd w:val="clear" w:color="auto" w:fill="00FF00"/>
          </w:tcPr>
          <w:p w14:paraId="5C6E93F3" w14:textId="200238D1" w:rsidR="00FD4E95" w:rsidRDefault="003C260C">
            <w:pPr>
              <w:jc w:val="center"/>
              <w:cnfStyle w:val="000000000000" w:firstRow="0" w:lastRow="0" w:firstColumn="0" w:lastColumn="0" w:oddVBand="0" w:evenVBand="0" w:oddHBand="0" w:evenHBand="0" w:firstRowFirstColumn="0" w:firstRowLastColumn="0" w:lastRowFirstColumn="0" w:lastRowLastColumn="0"/>
            </w:pPr>
            <w:r>
              <w:t>5</w:t>
            </w:r>
          </w:p>
        </w:tc>
      </w:tr>
      <w:tr w:rsidR="002C671C" w14:paraId="160AC842" w14:textId="77777777" w:rsidTr="003C2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2F394621" w14:textId="78042BBB" w:rsidR="00FD4E95" w:rsidRDefault="00093662">
            <w:r w:rsidRPr="00093662">
              <w:rPr>
                <w:sz w:val="22"/>
                <w:szCs w:val="18"/>
              </w:rPr>
              <w:t>Work on customer premises</w:t>
            </w:r>
          </w:p>
        </w:tc>
        <w:tc>
          <w:tcPr>
            <w:tcW w:w="3610" w:type="dxa"/>
          </w:tcPr>
          <w:p w14:paraId="43443F72" w14:textId="12FCB855" w:rsidR="00FD4E95" w:rsidRPr="003C260C" w:rsidRDefault="00093662">
            <w:pPr>
              <w:cnfStyle w:val="000000100000" w:firstRow="0" w:lastRow="0" w:firstColumn="0" w:lastColumn="0" w:oddVBand="0" w:evenVBand="0" w:oddHBand="1" w:evenHBand="0" w:firstRowFirstColumn="0" w:firstRowLastColumn="0" w:lastRowFirstColumn="0" w:lastRowLastColumn="0"/>
              <w:rPr>
                <w:sz w:val="20"/>
              </w:rPr>
            </w:pPr>
            <w:r w:rsidRPr="00093662">
              <w:rPr>
                <w:sz w:val="20"/>
              </w:rPr>
              <w:t>High-risk premises, e.g. hospital</w:t>
            </w:r>
            <w:r w:rsidRPr="003C260C">
              <w:rPr>
                <w:sz w:val="20"/>
              </w:rPr>
              <w:t xml:space="preserve"> </w:t>
            </w:r>
          </w:p>
        </w:tc>
        <w:tc>
          <w:tcPr>
            <w:tcW w:w="2923" w:type="dxa"/>
          </w:tcPr>
          <w:p w14:paraId="2C42E1FD" w14:textId="5518EF34" w:rsidR="00FD4E95" w:rsidRPr="003C260C" w:rsidRDefault="003C260C">
            <w:pPr>
              <w:cnfStyle w:val="000000100000" w:firstRow="0" w:lastRow="0" w:firstColumn="0" w:lastColumn="0" w:oddVBand="0" w:evenVBand="0" w:oddHBand="1" w:evenHBand="0" w:firstRowFirstColumn="0" w:firstRowLastColumn="0" w:lastRowFirstColumn="0" w:lastRowLastColumn="0"/>
              <w:rPr>
                <w:sz w:val="20"/>
              </w:rPr>
            </w:pPr>
            <w:r w:rsidRPr="003C260C">
              <w:rPr>
                <w:sz w:val="20"/>
              </w:rPr>
              <w:t xml:space="preserve">Full PPE required at all times and no high-employees permitted on site. </w:t>
            </w:r>
          </w:p>
        </w:tc>
        <w:tc>
          <w:tcPr>
            <w:tcW w:w="358" w:type="dxa"/>
          </w:tcPr>
          <w:p w14:paraId="1CE47E21" w14:textId="1D8829EA" w:rsidR="00FD4E95" w:rsidRDefault="003C260C">
            <w:pPr>
              <w:jc w:val="center"/>
              <w:cnfStyle w:val="000000100000" w:firstRow="0" w:lastRow="0" w:firstColumn="0" w:lastColumn="0" w:oddVBand="0" w:evenVBand="0" w:oddHBand="1" w:evenHBand="0" w:firstRowFirstColumn="0" w:firstRowLastColumn="0" w:lastRowFirstColumn="0" w:lastRowLastColumn="0"/>
            </w:pPr>
            <w:r>
              <w:t>5</w:t>
            </w:r>
          </w:p>
        </w:tc>
        <w:tc>
          <w:tcPr>
            <w:tcW w:w="0" w:type="auto"/>
          </w:tcPr>
          <w:p w14:paraId="04C77BF4" w14:textId="0BBCBCAB" w:rsidR="00FD4E95" w:rsidRDefault="003C260C">
            <w:pPr>
              <w:jc w:val="center"/>
              <w:cnfStyle w:val="000000100000" w:firstRow="0" w:lastRow="0" w:firstColumn="0" w:lastColumn="0" w:oddVBand="0" w:evenVBand="0" w:oddHBand="1" w:evenHBand="0" w:firstRowFirstColumn="0" w:firstRowLastColumn="0" w:lastRowFirstColumn="0" w:lastRowLastColumn="0"/>
            </w:pPr>
            <w:r>
              <w:t>2</w:t>
            </w:r>
          </w:p>
        </w:tc>
        <w:tc>
          <w:tcPr>
            <w:tcW w:w="605" w:type="dxa"/>
            <w:shd w:val="clear" w:color="auto" w:fill="FFFF00"/>
          </w:tcPr>
          <w:p w14:paraId="73EAE973" w14:textId="7C040F3D" w:rsidR="00FD4E95" w:rsidRDefault="003C260C">
            <w:pPr>
              <w:jc w:val="center"/>
              <w:cnfStyle w:val="000000100000" w:firstRow="0" w:lastRow="0" w:firstColumn="0" w:lastColumn="0" w:oddVBand="0" w:evenVBand="0" w:oddHBand="1" w:evenHBand="0" w:firstRowFirstColumn="0" w:firstRowLastColumn="0" w:lastRowFirstColumn="0" w:lastRowLastColumn="0"/>
            </w:pPr>
            <w:r>
              <w:t>10</w:t>
            </w:r>
          </w:p>
        </w:tc>
      </w:tr>
      <w:tr w:rsidR="003C260C" w14:paraId="6DA1EE86" w14:textId="77777777" w:rsidTr="003C260C">
        <w:tc>
          <w:tcPr>
            <w:cnfStyle w:val="001000000000" w:firstRow="0" w:lastRow="0" w:firstColumn="1" w:lastColumn="0" w:oddVBand="0" w:evenVBand="0" w:oddHBand="0" w:evenHBand="0" w:firstRowFirstColumn="0" w:firstRowLastColumn="0" w:lastRowFirstColumn="0" w:lastRowLastColumn="0"/>
            <w:tcW w:w="1476" w:type="dxa"/>
          </w:tcPr>
          <w:p w14:paraId="36B1399C" w14:textId="74D652E7" w:rsidR="003C260C" w:rsidRDefault="003C260C" w:rsidP="003C260C">
            <w:r w:rsidRPr="00093662">
              <w:rPr>
                <w:sz w:val="22"/>
                <w:szCs w:val="18"/>
              </w:rPr>
              <w:t>Work on customer premises</w:t>
            </w:r>
          </w:p>
        </w:tc>
        <w:tc>
          <w:tcPr>
            <w:tcW w:w="3610" w:type="dxa"/>
          </w:tcPr>
          <w:p w14:paraId="47FBE0E6" w14:textId="11183AD7" w:rsidR="003C260C" w:rsidRDefault="003C260C" w:rsidP="003C260C">
            <w:pPr>
              <w:cnfStyle w:val="000000000000" w:firstRow="0" w:lastRow="0" w:firstColumn="0" w:lastColumn="0" w:oddVBand="0" w:evenVBand="0" w:oddHBand="0" w:evenHBand="0" w:firstRowFirstColumn="0" w:firstRowLastColumn="0" w:lastRowFirstColumn="0" w:lastRowLastColumn="0"/>
            </w:pPr>
            <w:r w:rsidRPr="00093662">
              <w:rPr>
                <w:sz w:val="20"/>
              </w:rPr>
              <w:t>Spreading of infection.</w:t>
            </w:r>
            <w:r>
              <w:t xml:space="preserve"> </w:t>
            </w:r>
          </w:p>
        </w:tc>
        <w:tc>
          <w:tcPr>
            <w:tcW w:w="2923" w:type="dxa"/>
          </w:tcPr>
          <w:p w14:paraId="1EEB977B" w14:textId="77777777" w:rsidR="003C260C" w:rsidRDefault="003C260C" w:rsidP="003C260C">
            <w:pPr>
              <w:cnfStyle w:val="000000000000" w:firstRow="0" w:lastRow="0" w:firstColumn="0" w:lastColumn="0" w:oddVBand="0" w:evenVBand="0" w:oddHBand="0" w:evenHBand="0" w:firstRowFirstColumn="0" w:firstRowLastColumn="0" w:lastRowFirstColumn="0" w:lastRowLastColumn="0"/>
              <w:rPr>
                <w:sz w:val="20"/>
              </w:rPr>
            </w:pPr>
            <w:r w:rsidRPr="006B0B20">
              <w:rPr>
                <w:sz w:val="20"/>
              </w:rPr>
              <w:t xml:space="preserve">PPE </w:t>
            </w:r>
            <w:r>
              <w:rPr>
                <w:sz w:val="20"/>
              </w:rPr>
              <w:t xml:space="preserve">to be worn if any contact with other persons is required. Employees to follow guidance issued when selecting PPE, e.g. recognising the difference between FFP2/3 masks and face-coverings. </w:t>
            </w:r>
          </w:p>
          <w:p w14:paraId="4F1F1104" w14:textId="77777777" w:rsidR="003C260C" w:rsidRDefault="003C260C" w:rsidP="003C260C">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PPE should be worn during sign in/induction or any other close-contact situations. </w:t>
            </w:r>
          </w:p>
          <w:p w14:paraId="75DC9D4B" w14:textId="77777777" w:rsidR="003C260C" w:rsidRDefault="003C260C" w:rsidP="003C260C">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Compliance with all government, Grundfos and client controls is mandatory, and basic infection risk management strategies should be employed, e.g. regular hand washing; and use of hand gel where hand washing facilities are not available. Do not touch face, eyes or nose whilst working/with uncleaned hands. </w:t>
            </w:r>
          </w:p>
          <w:p w14:paraId="2B8B3418" w14:textId="77777777" w:rsidR="003C260C" w:rsidRDefault="003C260C" w:rsidP="003C260C">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Disinfect all regularly touched surfaces, e.g. steering wheel, tools, door handles etc. following best practice guidance. </w:t>
            </w:r>
          </w:p>
          <w:p w14:paraId="165A3B49" w14:textId="77777777" w:rsidR="003C260C" w:rsidRDefault="003C260C" w:rsidP="003C260C">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Maintain social distancing at all times and ensure no contact such as hand-shaking is carried out. </w:t>
            </w:r>
          </w:p>
          <w:p w14:paraId="24EFBF7B" w14:textId="1EA12CB3" w:rsidR="003C260C" w:rsidRDefault="003C260C" w:rsidP="003C260C">
            <w:pPr>
              <w:cnfStyle w:val="000000000000" w:firstRow="0" w:lastRow="0" w:firstColumn="0" w:lastColumn="0" w:oddVBand="0" w:evenVBand="0" w:oddHBand="0" w:evenHBand="0" w:firstRowFirstColumn="0" w:firstRowLastColumn="0" w:lastRowFirstColumn="0" w:lastRowLastColumn="0"/>
            </w:pPr>
            <w:r w:rsidRPr="003C260C">
              <w:rPr>
                <w:sz w:val="20"/>
              </w:rPr>
              <w:t>Utilize Grundfos-issued keyring for ope</w:t>
            </w:r>
            <w:r>
              <w:rPr>
                <w:sz w:val="20"/>
              </w:rPr>
              <w:t xml:space="preserve">ning doors, touching chip and pin etc. </w:t>
            </w:r>
          </w:p>
        </w:tc>
        <w:tc>
          <w:tcPr>
            <w:tcW w:w="358" w:type="dxa"/>
          </w:tcPr>
          <w:p w14:paraId="1C91A90D" w14:textId="482B8D1F" w:rsidR="003C260C" w:rsidRDefault="003C260C" w:rsidP="003C260C">
            <w:pPr>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1B0F299F" w14:textId="49D1B64D" w:rsidR="003C260C" w:rsidRDefault="003C260C" w:rsidP="003C260C">
            <w:pPr>
              <w:jc w:val="center"/>
              <w:cnfStyle w:val="000000000000" w:firstRow="0" w:lastRow="0" w:firstColumn="0" w:lastColumn="0" w:oddVBand="0" w:evenVBand="0" w:oddHBand="0" w:evenHBand="0" w:firstRowFirstColumn="0" w:firstRowLastColumn="0" w:lastRowFirstColumn="0" w:lastRowLastColumn="0"/>
            </w:pPr>
            <w:r>
              <w:t>1</w:t>
            </w:r>
          </w:p>
        </w:tc>
        <w:tc>
          <w:tcPr>
            <w:tcW w:w="605" w:type="dxa"/>
            <w:shd w:val="clear" w:color="auto" w:fill="00FF00"/>
          </w:tcPr>
          <w:p w14:paraId="2FBC80B2" w14:textId="0D4B9239" w:rsidR="003C260C" w:rsidRDefault="003C260C" w:rsidP="003C260C">
            <w:pPr>
              <w:jc w:val="center"/>
              <w:cnfStyle w:val="000000000000" w:firstRow="0" w:lastRow="0" w:firstColumn="0" w:lastColumn="0" w:oddVBand="0" w:evenVBand="0" w:oddHBand="0" w:evenHBand="0" w:firstRowFirstColumn="0" w:firstRowLastColumn="0" w:lastRowFirstColumn="0" w:lastRowLastColumn="0"/>
            </w:pPr>
            <w:r>
              <w:t>5</w:t>
            </w:r>
          </w:p>
        </w:tc>
      </w:tr>
      <w:tr w:rsidR="003C260C" w14:paraId="0591BAC8" w14:textId="77777777" w:rsidTr="003C2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78487DEB" w14:textId="36F15FA7" w:rsidR="003C260C" w:rsidRDefault="003C260C" w:rsidP="003C260C">
            <w:r w:rsidRPr="00093662">
              <w:rPr>
                <w:sz w:val="22"/>
                <w:szCs w:val="18"/>
              </w:rPr>
              <w:t>Work on customer premises</w:t>
            </w:r>
          </w:p>
        </w:tc>
        <w:tc>
          <w:tcPr>
            <w:tcW w:w="3610" w:type="dxa"/>
          </w:tcPr>
          <w:p w14:paraId="1013884D" w14:textId="0FB535DC" w:rsidR="003C260C" w:rsidRDefault="003C260C" w:rsidP="003C260C">
            <w:pPr>
              <w:cnfStyle w:val="000000100000" w:firstRow="0" w:lastRow="0" w:firstColumn="0" w:lastColumn="0" w:oddVBand="0" w:evenVBand="0" w:oddHBand="1" w:evenHBand="0" w:firstRowFirstColumn="0" w:firstRowLastColumn="0" w:lastRowFirstColumn="0" w:lastRowLastColumn="0"/>
            </w:pPr>
            <w:r>
              <w:rPr>
                <w:sz w:val="20"/>
              </w:rPr>
              <w:t xml:space="preserve">Inadequate PPE. </w:t>
            </w:r>
          </w:p>
        </w:tc>
        <w:tc>
          <w:tcPr>
            <w:tcW w:w="2923" w:type="dxa"/>
          </w:tcPr>
          <w:p w14:paraId="74921DE4" w14:textId="77777777" w:rsidR="003C260C" w:rsidRPr="003C260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3C260C">
              <w:rPr>
                <w:sz w:val="20"/>
              </w:rPr>
              <w:t>PPE stock check in place weekly. 3 months supply held at Grundfos HQ for each employee.</w:t>
            </w:r>
          </w:p>
          <w:p w14:paraId="5860A30D" w14:textId="079BF4D7" w:rsidR="003C260C" w:rsidRDefault="003C260C" w:rsidP="003C260C">
            <w:pPr>
              <w:cnfStyle w:val="000000100000" w:firstRow="0" w:lastRow="0" w:firstColumn="0" w:lastColumn="0" w:oddVBand="0" w:evenVBand="0" w:oddHBand="1" w:evenHBand="0" w:firstRowFirstColumn="0" w:firstRowLastColumn="0" w:lastRowFirstColumn="0" w:lastRowLastColumn="0"/>
            </w:pPr>
            <w:r w:rsidRPr="003C260C">
              <w:rPr>
                <w:sz w:val="20"/>
              </w:rPr>
              <w:t>Only Grundfos-issued PPE may be used.</w:t>
            </w:r>
            <w:r>
              <w:t xml:space="preserve"> </w:t>
            </w:r>
          </w:p>
        </w:tc>
        <w:tc>
          <w:tcPr>
            <w:tcW w:w="358" w:type="dxa"/>
          </w:tcPr>
          <w:p w14:paraId="0E5C0297" w14:textId="4AD8EB92" w:rsidR="003C260C" w:rsidRDefault="003C260C" w:rsidP="003C260C">
            <w:pPr>
              <w:jc w:val="center"/>
              <w:cnfStyle w:val="000000100000" w:firstRow="0" w:lastRow="0" w:firstColumn="0" w:lastColumn="0" w:oddVBand="0" w:evenVBand="0" w:oddHBand="1" w:evenHBand="0" w:firstRowFirstColumn="0" w:firstRowLastColumn="0" w:lastRowFirstColumn="0" w:lastRowLastColumn="0"/>
            </w:pPr>
            <w:r>
              <w:t>5</w:t>
            </w:r>
          </w:p>
        </w:tc>
        <w:tc>
          <w:tcPr>
            <w:tcW w:w="0" w:type="auto"/>
          </w:tcPr>
          <w:p w14:paraId="7ADC1EAA" w14:textId="7ED21FB8" w:rsidR="003C260C" w:rsidRDefault="003C260C" w:rsidP="003C260C">
            <w:pPr>
              <w:jc w:val="center"/>
              <w:cnfStyle w:val="000000100000" w:firstRow="0" w:lastRow="0" w:firstColumn="0" w:lastColumn="0" w:oddVBand="0" w:evenVBand="0" w:oddHBand="1" w:evenHBand="0" w:firstRowFirstColumn="0" w:firstRowLastColumn="0" w:lastRowFirstColumn="0" w:lastRowLastColumn="0"/>
            </w:pPr>
            <w:r>
              <w:t>1</w:t>
            </w:r>
          </w:p>
        </w:tc>
        <w:tc>
          <w:tcPr>
            <w:tcW w:w="605" w:type="dxa"/>
            <w:shd w:val="clear" w:color="auto" w:fill="66FF66"/>
          </w:tcPr>
          <w:p w14:paraId="6991485B" w14:textId="5E17D452" w:rsidR="003C260C" w:rsidRDefault="003C260C" w:rsidP="003C260C">
            <w:pPr>
              <w:jc w:val="center"/>
              <w:cnfStyle w:val="000000100000" w:firstRow="0" w:lastRow="0" w:firstColumn="0" w:lastColumn="0" w:oddVBand="0" w:evenVBand="0" w:oddHBand="1" w:evenHBand="0" w:firstRowFirstColumn="0" w:firstRowLastColumn="0" w:lastRowFirstColumn="0" w:lastRowLastColumn="0"/>
            </w:pPr>
            <w:r>
              <w:t>5</w:t>
            </w:r>
          </w:p>
        </w:tc>
      </w:tr>
      <w:tr w:rsidR="003C260C" w14:paraId="7C55351A" w14:textId="77777777" w:rsidTr="003C260C">
        <w:tc>
          <w:tcPr>
            <w:cnfStyle w:val="001000000000" w:firstRow="0" w:lastRow="0" w:firstColumn="1" w:lastColumn="0" w:oddVBand="0" w:evenVBand="0" w:oddHBand="0" w:evenHBand="0" w:firstRowFirstColumn="0" w:firstRowLastColumn="0" w:lastRowFirstColumn="0" w:lastRowLastColumn="0"/>
            <w:tcW w:w="1476" w:type="dxa"/>
          </w:tcPr>
          <w:p w14:paraId="2CA2AEA6" w14:textId="1DC3E827" w:rsidR="003C260C" w:rsidRPr="00093662" w:rsidRDefault="003C260C" w:rsidP="003C260C">
            <w:pPr>
              <w:rPr>
                <w:sz w:val="22"/>
                <w:szCs w:val="18"/>
              </w:rPr>
            </w:pPr>
            <w:r w:rsidRPr="00093662">
              <w:rPr>
                <w:sz w:val="22"/>
                <w:szCs w:val="18"/>
              </w:rPr>
              <w:t>Work on customer premises</w:t>
            </w:r>
          </w:p>
        </w:tc>
        <w:tc>
          <w:tcPr>
            <w:tcW w:w="3610" w:type="dxa"/>
          </w:tcPr>
          <w:p w14:paraId="7812EAD2" w14:textId="3A2A1BFC" w:rsidR="003C260C" w:rsidRDefault="003C260C" w:rsidP="003C260C">
            <w:pPr>
              <w:cnfStyle w:val="000000000000" w:firstRow="0" w:lastRow="0" w:firstColumn="0" w:lastColumn="0" w:oddVBand="0" w:evenVBand="0" w:oddHBand="0" w:evenHBand="0" w:firstRowFirstColumn="0" w:firstRowLastColumn="0" w:lastRowFirstColumn="0" w:lastRowLastColumn="0"/>
              <w:rPr>
                <w:sz w:val="20"/>
              </w:rPr>
            </w:pPr>
            <w:r w:rsidRPr="002C671C">
              <w:rPr>
                <w:sz w:val="20"/>
              </w:rPr>
              <w:t>Use of high-traffic areas, e.g. toilets/coffee making facilities</w:t>
            </w:r>
          </w:p>
        </w:tc>
        <w:tc>
          <w:tcPr>
            <w:tcW w:w="2923" w:type="dxa"/>
          </w:tcPr>
          <w:p w14:paraId="2EF78012" w14:textId="77777777" w:rsidR="003C260C" w:rsidRDefault="003C260C" w:rsidP="003C260C">
            <w:pPr>
              <w:cnfStyle w:val="000000000000" w:firstRow="0" w:lastRow="0" w:firstColumn="0" w:lastColumn="0" w:oddVBand="0" w:evenVBand="0" w:oddHBand="0" w:evenHBand="0" w:firstRowFirstColumn="0" w:firstRowLastColumn="0" w:lastRowFirstColumn="0" w:lastRowLastColumn="0"/>
            </w:pPr>
            <w:r w:rsidRPr="003C260C">
              <w:rPr>
                <w:sz w:val="20"/>
              </w:rPr>
              <w:t>Whilst in high-traffic areas a face-covering should be worn.</w:t>
            </w:r>
            <w:r>
              <w:t xml:space="preserve"> </w:t>
            </w:r>
          </w:p>
          <w:p w14:paraId="08C7764D" w14:textId="37E29906" w:rsidR="003C260C" w:rsidRDefault="003C260C" w:rsidP="003C260C">
            <w:pPr>
              <w:cnfStyle w:val="000000000000" w:firstRow="0" w:lastRow="0" w:firstColumn="0" w:lastColumn="0" w:oddVBand="0" w:evenVBand="0" w:oddHBand="0" w:evenHBand="0" w:firstRowFirstColumn="0" w:firstRowLastColumn="0" w:lastRowFirstColumn="0" w:lastRowLastColumn="0"/>
            </w:pPr>
            <w:r w:rsidRPr="003C260C">
              <w:rPr>
                <w:sz w:val="20"/>
              </w:rPr>
              <w:t>Wash hands regularly and ensure social distancing.</w:t>
            </w:r>
            <w:r>
              <w:t xml:space="preserve"> </w:t>
            </w:r>
          </w:p>
        </w:tc>
        <w:tc>
          <w:tcPr>
            <w:tcW w:w="358" w:type="dxa"/>
          </w:tcPr>
          <w:p w14:paraId="67120CC3" w14:textId="64016887" w:rsidR="003C260C" w:rsidRDefault="00504E9B" w:rsidP="003C260C">
            <w:pPr>
              <w:jc w:val="center"/>
              <w:cnfStyle w:val="000000000000" w:firstRow="0" w:lastRow="0" w:firstColumn="0" w:lastColumn="0" w:oddVBand="0" w:evenVBand="0" w:oddHBand="0" w:evenHBand="0" w:firstRowFirstColumn="0" w:firstRowLastColumn="0" w:lastRowFirstColumn="0" w:lastRowLastColumn="0"/>
            </w:pPr>
            <w:r>
              <w:t>5</w:t>
            </w:r>
          </w:p>
        </w:tc>
        <w:tc>
          <w:tcPr>
            <w:tcW w:w="0" w:type="auto"/>
          </w:tcPr>
          <w:p w14:paraId="3A8075CC" w14:textId="25140006" w:rsidR="003C260C" w:rsidRDefault="00504E9B" w:rsidP="003C260C">
            <w:pPr>
              <w:jc w:val="center"/>
              <w:cnfStyle w:val="000000000000" w:firstRow="0" w:lastRow="0" w:firstColumn="0" w:lastColumn="0" w:oddVBand="0" w:evenVBand="0" w:oddHBand="0" w:evenHBand="0" w:firstRowFirstColumn="0" w:firstRowLastColumn="0" w:lastRowFirstColumn="0" w:lastRowLastColumn="0"/>
            </w:pPr>
            <w:r>
              <w:t>2</w:t>
            </w:r>
          </w:p>
        </w:tc>
        <w:tc>
          <w:tcPr>
            <w:tcW w:w="605" w:type="dxa"/>
            <w:shd w:val="clear" w:color="auto" w:fill="FFFF00"/>
          </w:tcPr>
          <w:p w14:paraId="6D33EE98" w14:textId="5A1DD30A" w:rsidR="003C260C" w:rsidRDefault="00504E9B" w:rsidP="003C260C">
            <w:pPr>
              <w:jc w:val="center"/>
              <w:cnfStyle w:val="000000000000" w:firstRow="0" w:lastRow="0" w:firstColumn="0" w:lastColumn="0" w:oddVBand="0" w:evenVBand="0" w:oddHBand="0" w:evenHBand="0" w:firstRowFirstColumn="0" w:firstRowLastColumn="0" w:lastRowFirstColumn="0" w:lastRowLastColumn="0"/>
            </w:pPr>
            <w:r>
              <w:t>10</w:t>
            </w:r>
          </w:p>
        </w:tc>
      </w:tr>
      <w:tr w:rsidR="003C260C" w14:paraId="663A0560" w14:textId="77777777" w:rsidTr="00504E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6" w:type="dxa"/>
          </w:tcPr>
          <w:p w14:paraId="147B9B4A" w14:textId="1E5A6785" w:rsidR="003C260C" w:rsidRPr="00093662" w:rsidRDefault="003C260C" w:rsidP="003C260C">
            <w:pPr>
              <w:rPr>
                <w:sz w:val="22"/>
                <w:szCs w:val="18"/>
              </w:rPr>
            </w:pPr>
            <w:r>
              <w:rPr>
                <w:sz w:val="22"/>
                <w:szCs w:val="18"/>
              </w:rPr>
              <w:lastRenderedPageBreak/>
              <w:t xml:space="preserve">All work carried out by those at higher risk of coronavirus </w:t>
            </w:r>
          </w:p>
        </w:tc>
        <w:tc>
          <w:tcPr>
            <w:tcW w:w="3610" w:type="dxa"/>
          </w:tcPr>
          <w:p w14:paraId="61B12027"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Coronavirus (COVID-19) can make anyone seriously ill. But for some people, the risk is higher.</w:t>
            </w:r>
          </w:p>
          <w:p w14:paraId="632B6723"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p>
          <w:p w14:paraId="132083EE"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There are 2 levels of higher risk:</w:t>
            </w:r>
          </w:p>
          <w:p w14:paraId="61720F9C"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p>
          <w:p w14:paraId="6FCDBED1"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high risk (clinically extremely vulnerable)</w:t>
            </w:r>
          </w:p>
          <w:p w14:paraId="431E4E63"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moderate risk (clinically vulnerable)</w:t>
            </w:r>
          </w:p>
          <w:p w14:paraId="7CB20C8B"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p>
          <w:p w14:paraId="559835DE"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People at high risk from coronavirus include people who:</w:t>
            </w:r>
          </w:p>
          <w:p w14:paraId="4B576BC6"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have had an organ transplant</w:t>
            </w:r>
          </w:p>
          <w:p w14:paraId="73CE7ADF"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are having chemotherapy or antibody treatment for cancer, including immunotherapy</w:t>
            </w:r>
          </w:p>
          <w:p w14:paraId="534CA516"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are having an intense course of radiotherapy (radical radiotherapy) for lung cancer</w:t>
            </w:r>
          </w:p>
          <w:p w14:paraId="3E66225F"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are having targeted cancer treatments that can affect the immune system (such as protein kinase inhibitors or PARP inhibitors)</w:t>
            </w:r>
          </w:p>
          <w:p w14:paraId="6F416722"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have blood or bone marrow cancer (such as leukaemia, lymphoma or myeloma)</w:t>
            </w:r>
          </w:p>
          <w:p w14:paraId="3B1E6E46"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have had a bone marrow or stem cell transplant in the past 6 months, or are still taking immunosuppressant medicine</w:t>
            </w:r>
          </w:p>
          <w:p w14:paraId="19795510"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have been told by a doctor they have a severe lung condition (such as cystic fibrosis, severe asthma or severe COPD)</w:t>
            </w:r>
          </w:p>
          <w:p w14:paraId="5EC11449"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have a condition that means they have a very high risk of getting infections (such as SCID or sickle cell)</w:t>
            </w:r>
          </w:p>
          <w:p w14:paraId="30342DAE"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are taking medicine that makes them much more likely to get infections (such as high doses of steroids or immunosuppressant medicine)</w:t>
            </w:r>
          </w:p>
          <w:p w14:paraId="5CC93B09"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have a serious heart condition and are pregnant</w:t>
            </w:r>
          </w:p>
          <w:p w14:paraId="2EEAA568"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p>
          <w:p w14:paraId="7AD85826"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People at moderate risk from coronavirus include people who:</w:t>
            </w:r>
          </w:p>
          <w:p w14:paraId="58BAB40C"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are 70 or older</w:t>
            </w:r>
          </w:p>
          <w:p w14:paraId="0D9A0F26"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have a lung condition that's not severe (such as asthma, COPD, emphysema or bronchitis)</w:t>
            </w:r>
          </w:p>
          <w:p w14:paraId="6A43CFA9"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have heart disease (such as heart failure)</w:t>
            </w:r>
          </w:p>
          <w:p w14:paraId="468282B3"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have diabetes</w:t>
            </w:r>
          </w:p>
          <w:p w14:paraId="17DCF3FB"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have chronic kidney disease</w:t>
            </w:r>
          </w:p>
          <w:p w14:paraId="1288ADB1"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have liver disease (such as hepatitis)</w:t>
            </w:r>
          </w:p>
          <w:p w14:paraId="207C1A0C"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 xml:space="preserve">have a condition affecting the brain or nerves (such as Parkinson's </w:t>
            </w:r>
            <w:r w:rsidRPr="002C671C">
              <w:rPr>
                <w:sz w:val="20"/>
              </w:rPr>
              <w:lastRenderedPageBreak/>
              <w:t>disease, motor neurone disease, multiple sclerosis or cerebral palsy)</w:t>
            </w:r>
          </w:p>
          <w:p w14:paraId="5400016B"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have a condition that means they have a high risk of getting infections</w:t>
            </w:r>
          </w:p>
          <w:p w14:paraId="1F435584"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are taking medicine that can affect the immune system (such as low doses of steroids)</w:t>
            </w:r>
          </w:p>
          <w:p w14:paraId="75347527"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are very obese (a BMI of 40 or above)</w:t>
            </w:r>
          </w:p>
          <w:p w14:paraId="650126D8" w14:textId="787F4EF4"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w:t>
            </w:r>
            <w:r w:rsidRPr="002C671C">
              <w:rPr>
                <w:sz w:val="20"/>
              </w:rPr>
              <w:tab/>
              <w:t>are pregnant</w:t>
            </w:r>
          </w:p>
        </w:tc>
        <w:tc>
          <w:tcPr>
            <w:tcW w:w="2923" w:type="dxa"/>
          </w:tcPr>
          <w:p w14:paraId="43505465"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lastRenderedPageBreak/>
              <w:t>All employees have been asked to advise QHSE if they fall into either category.</w:t>
            </w:r>
          </w:p>
          <w:p w14:paraId="7BC27D4E"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p>
          <w:p w14:paraId="6F4E18A3"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 xml:space="preserve">A risk register has been produced based on responses. </w:t>
            </w:r>
          </w:p>
          <w:p w14:paraId="2214166F" w14:textId="77777777"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p>
          <w:p w14:paraId="2D5CE04B" w14:textId="77777777" w:rsidR="003C260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sidRPr="002C671C">
              <w:rPr>
                <w:sz w:val="20"/>
              </w:rPr>
              <w:t>All office-based employees who fall into either category have been asked to remain working at home.</w:t>
            </w:r>
          </w:p>
          <w:p w14:paraId="559D57A1" w14:textId="77777777" w:rsidR="003C260C" w:rsidRDefault="003C260C" w:rsidP="003C260C">
            <w:pPr>
              <w:cnfStyle w:val="000000100000" w:firstRow="0" w:lastRow="0" w:firstColumn="0" w:lastColumn="0" w:oddVBand="0" w:evenVBand="0" w:oddHBand="1" w:evenHBand="0" w:firstRowFirstColumn="0" w:firstRowLastColumn="0" w:lastRowFirstColumn="0" w:lastRowLastColumn="0"/>
              <w:rPr>
                <w:sz w:val="20"/>
              </w:rPr>
            </w:pPr>
          </w:p>
          <w:p w14:paraId="783C2450" w14:textId="561AFA49" w:rsidR="003C260C" w:rsidRPr="002C671C" w:rsidRDefault="003C260C" w:rsidP="003C260C">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All site-based staff have been categorised according to their risk level, and are matched to their jobs by the planning team, according to that risk level, e.g. no high risk employees are sent to high risk sites. This is also checked during the on-site RA completed before entering client the premises, in order to capture any high risk sites which may not have been identified during pre-visit checks. </w:t>
            </w:r>
          </w:p>
        </w:tc>
        <w:tc>
          <w:tcPr>
            <w:tcW w:w="358" w:type="dxa"/>
          </w:tcPr>
          <w:p w14:paraId="364A128A" w14:textId="45360B1D" w:rsidR="003C260C" w:rsidRDefault="00504E9B" w:rsidP="003C260C">
            <w:pPr>
              <w:jc w:val="center"/>
              <w:cnfStyle w:val="000000100000" w:firstRow="0" w:lastRow="0" w:firstColumn="0" w:lastColumn="0" w:oddVBand="0" w:evenVBand="0" w:oddHBand="1" w:evenHBand="0" w:firstRowFirstColumn="0" w:firstRowLastColumn="0" w:lastRowFirstColumn="0" w:lastRowLastColumn="0"/>
            </w:pPr>
            <w:r>
              <w:t>5</w:t>
            </w:r>
          </w:p>
        </w:tc>
        <w:tc>
          <w:tcPr>
            <w:tcW w:w="0" w:type="auto"/>
          </w:tcPr>
          <w:p w14:paraId="52B60D2D" w14:textId="45552144" w:rsidR="003C260C" w:rsidRDefault="00504E9B" w:rsidP="003C260C">
            <w:pPr>
              <w:jc w:val="center"/>
              <w:cnfStyle w:val="000000100000" w:firstRow="0" w:lastRow="0" w:firstColumn="0" w:lastColumn="0" w:oddVBand="0" w:evenVBand="0" w:oddHBand="1" w:evenHBand="0" w:firstRowFirstColumn="0" w:firstRowLastColumn="0" w:lastRowFirstColumn="0" w:lastRowLastColumn="0"/>
            </w:pPr>
            <w:r>
              <w:t>1</w:t>
            </w:r>
          </w:p>
        </w:tc>
        <w:tc>
          <w:tcPr>
            <w:tcW w:w="605" w:type="dxa"/>
            <w:shd w:val="clear" w:color="auto" w:fill="66FF66"/>
          </w:tcPr>
          <w:p w14:paraId="2D245768" w14:textId="6DE9FD59" w:rsidR="003C260C" w:rsidRDefault="00504E9B" w:rsidP="003C260C">
            <w:pPr>
              <w:jc w:val="center"/>
              <w:cnfStyle w:val="000000100000" w:firstRow="0" w:lastRow="0" w:firstColumn="0" w:lastColumn="0" w:oddVBand="0" w:evenVBand="0" w:oddHBand="1" w:evenHBand="0" w:firstRowFirstColumn="0" w:firstRowLastColumn="0" w:lastRowFirstColumn="0" w:lastRowLastColumn="0"/>
            </w:pPr>
            <w:r>
              <w:t>5</w:t>
            </w:r>
          </w:p>
        </w:tc>
        <w:bookmarkStart w:id="0" w:name="_GoBack"/>
        <w:bookmarkEnd w:id="0"/>
      </w:tr>
    </w:tbl>
    <w:p w14:paraId="50BC6C5C" w14:textId="77777777" w:rsidR="00240C84" w:rsidRDefault="00240C84" w:rsidP="006525D8">
      <w:pPr>
        <w:rPr>
          <w:sz w:val="20"/>
        </w:rPr>
      </w:pPr>
    </w:p>
    <w:tbl>
      <w:tblPr>
        <w:tblStyle w:val="PlainTable2"/>
        <w:tblpPr w:leftFromText="181" w:rightFromText="181" w:tblpYSpec="bottom"/>
        <w:tblOverlap w:val="never"/>
        <w:tblW w:w="0" w:type="auto"/>
        <w:tblLayout w:type="fixed"/>
        <w:tblLook w:val="04A0" w:firstRow="1" w:lastRow="0" w:firstColumn="1" w:lastColumn="0" w:noHBand="0" w:noVBand="1"/>
      </w:tblPr>
      <w:tblGrid>
        <w:gridCol w:w="2268"/>
        <w:gridCol w:w="2127"/>
        <w:gridCol w:w="2693"/>
        <w:gridCol w:w="2244"/>
      </w:tblGrid>
      <w:tr w:rsidR="00D35C67" w:rsidRPr="00D0086A" w14:paraId="5A69A6D4" w14:textId="77777777" w:rsidTr="00EA3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tcBorders>
          </w:tcPr>
          <w:p w14:paraId="6795EAF3" w14:textId="77777777" w:rsidR="00D35C67" w:rsidRDefault="00D35C67" w:rsidP="00EA3778">
            <w:pPr>
              <w:pStyle w:val="Heading3"/>
              <w:outlineLvl w:val="2"/>
            </w:pPr>
            <w:r w:rsidRPr="00C60BB5">
              <w:rPr>
                <w:sz w:val="20"/>
              </w:rPr>
              <w:t>Signature of person compiling assessment</w:t>
            </w:r>
          </w:p>
        </w:tc>
        <w:tc>
          <w:tcPr>
            <w:tcW w:w="2127" w:type="dxa"/>
            <w:tcBorders>
              <w:bottom w:val="single" w:sz="4" w:space="0" w:color="auto"/>
            </w:tcBorders>
          </w:tcPr>
          <w:p w14:paraId="7D634AD5" w14:textId="1CEFF217" w:rsidR="00D35C67" w:rsidRDefault="00093662" w:rsidP="00EA3778">
            <w:pPr>
              <w:pStyle w:val="Heading1"/>
              <w:jc w:val="center"/>
              <w:outlineLvl w:val="0"/>
              <w:cnfStyle w:val="100000000000" w:firstRow="1" w:lastRow="0" w:firstColumn="0" w:lastColumn="0" w:oddVBand="0" w:evenVBand="0" w:oddHBand="0" w:evenHBand="0" w:firstRowFirstColumn="0" w:firstRowLastColumn="0" w:lastRowFirstColumn="0" w:lastRowLastColumn="0"/>
              <w:rPr>
                <w:sz w:val="20"/>
                <w:szCs w:val="20"/>
              </w:rPr>
            </w:pPr>
            <w:r>
              <w:rPr>
                <w:noProof/>
              </w:rPr>
              <w:drawing>
                <wp:anchor distT="0" distB="0" distL="114300" distR="114300" simplePos="0" relativeHeight="251658240" behindDoc="0" locked="0" layoutInCell="1" allowOverlap="1" wp14:anchorId="5D6855D9" wp14:editId="7744D5C2">
                  <wp:simplePos x="0" y="0"/>
                  <wp:positionH relativeFrom="column">
                    <wp:posOffset>-142875</wp:posOffset>
                  </wp:positionH>
                  <wp:positionV relativeFrom="paragraph">
                    <wp:posOffset>38100</wp:posOffset>
                  </wp:positionV>
                  <wp:extent cx="1190625" cy="42788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49764" b="87226"/>
                          <a:stretch/>
                        </pic:blipFill>
                        <pic:spPr bwMode="auto">
                          <a:xfrm>
                            <a:off x="0" y="0"/>
                            <a:ext cx="1190625" cy="427881"/>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693" w:type="dxa"/>
            <w:tcBorders>
              <w:bottom w:val="single" w:sz="4" w:space="0" w:color="auto"/>
            </w:tcBorders>
          </w:tcPr>
          <w:p w14:paraId="653AD66C" w14:textId="77777777" w:rsidR="00D35C67" w:rsidRDefault="00D35C67" w:rsidP="00EA3778">
            <w:pPr>
              <w:pStyle w:val="Heading1"/>
              <w:outlineLvl w:val="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Name of person compiling the assessment</w:t>
            </w:r>
          </w:p>
        </w:tc>
        <w:tc>
          <w:tcPr>
            <w:tcW w:w="2244" w:type="dxa"/>
            <w:tcBorders>
              <w:bottom w:val="single" w:sz="4" w:space="0" w:color="auto"/>
            </w:tcBorders>
          </w:tcPr>
          <w:p w14:paraId="1D40CF9E" w14:textId="03488EB0" w:rsidR="00D35C67" w:rsidRPr="00C60BB5" w:rsidRDefault="00093662" w:rsidP="00EA3778">
            <w:pPr>
              <w:pStyle w:val="Heading1"/>
              <w:jc w:val="center"/>
              <w:outlineLvl w:val="0"/>
              <w:cnfStyle w:val="100000000000" w:firstRow="1" w:lastRow="0" w:firstColumn="0" w:lastColumn="0" w:oddVBand="0" w:evenVBand="0" w:oddHBand="0" w:evenHBand="0" w:firstRowFirstColumn="0" w:firstRowLastColumn="0" w:lastRowFirstColumn="0" w:lastRowLastColumn="0"/>
              <w:rPr>
                <w:b/>
                <w:sz w:val="20"/>
                <w:szCs w:val="20"/>
              </w:rPr>
            </w:pPr>
            <w:r>
              <w:rPr>
                <w:b/>
                <w:sz w:val="20"/>
                <w:szCs w:val="20"/>
              </w:rPr>
              <w:t>Victoria Mulford</w:t>
            </w:r>
          </w:p>
        </w:tc>
      </w:tr>
      <w:tr w:rsidR="00202678" w:rsidRPr="00D0086A" w14:paraId="39CF6247" w14:textId="77777777" w:rsidTr="00EA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4"/>
            <w:tcBorders>
              <w:top w:val="nil"/>
              <w:left w:val="nil"/>
              <w:bottom w:val="single" w:sz="4" w:space="0" w:color="auto"/>
              <w:right w:val="nil"/>
            </w:tcBorders>
            <w:vAlign w:val="center"/>
          </w:tcPr>
          <w:p w14:paraId="22320954" w14:textId="77777777" w:rsidR="00202678" w:rsidRDefault="00202678" w:rsidP="00EA3778">
            <w:pPr>
              <w:pStyle w:val="Heading1"/>
              <w:jc w:val="center"/>
              <w:outlineLvl w:val="0"/>
              <w:rPr>
                <w:sz w:val="20"/>
                <w:szCs w:val="20"/>
              </w:rPr>
            </w:pPr>
          </w:p>
          <w:p w14:paraId="749CAE15" w14:textId="45ADDFE1" w:rsidR="001B24AE" w:rsidRPr="001B24AE" w:rsidRDefault="000B09C1" w:rsidP="001B24AE">
            <w:pPr>
              <w:pStyle w:val="Heading1"/>
              <w:outlineLvl w:val="0"/>
              <w:rPr>
                <w:b/>
                <w:bCs/>
                <w:sz w:val="20"/>
                <w:szCs w:val="20"/>
              </w:rPr>
            </w:pPr>
            <w:r>
              <w:rPr>
                <w:noProof/>
                <w:sz w:val="20"/>
                <w:szCs w:val="20"/>
              </w:rPr>
              <w:drawing>
                <wp:inline distT="0" distB="0" distL="0" distR="0" wp14:anchorId="3A72A4D6" wp14:editId="1CEA15E7">
                  <wp:extent cx="5820167" cy="6572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S Logos - 1.png"/>
                          <pic:cNvPicPr/>
                        </pic:nvPicPr>
                        <pic:blipFill>
                          <a:blip r:embed="rId11">
                            <a:extLst>
                              <a:ext uri="{28A0092B-C50C-407E-A947-70E740481C1C}">
                                <a14:useLocalDpi xmlns:a14="http://schemas.microsoft.com/office/drawing/2010/main" val="0"/>
                              </a:ext>
                            </a:extLst>
                          </a:blip>
                          <a:stretch>
                            <a:fillRect/>
                          </a:stretch>
                        </pic:blipFill>
                        <pic:spPr>
                          <a:xfrm>
                            <a:off x="0" y="0"/>
                            <a:ext cx="5953447" cy="672275"/>
                          </a:xfrm>
                          <a:prstGeom prst="rect">
                            <a:avLst/>
                          </a:prstGeom>
                        </pic:spPr>
                      </pic:pic>
                    </a:graphicData>
                  </a:graphic>
                </wp:inline>
              </w:drawing>
            </w:r>
            <w:r w:rsidR="001B24AE">
              <w:rPr>
                <w:sz w:val="20"/>
                <w:szCs w:val="20"/>
              </w:rPr>
              <w:t xml:space="preserve">  </w:t>
            </w:r>
          </w:p>
        </w:tc>
      </w:tr>
    </w:tbl>
    <w:p w14:paraId="63FA0100" w14:textId="77777777" w:rsidR="009E2A18" w:rsidRDefault="009E2A18" w:rsidP="00EA3778">
      <w:pPr>
        <w:rPr>
          <w:sz w:val="20"/>
        </w:rPr>
      </w:pPr>
    </w:p>
    <w:p w14:paraId="09055A95" w14:textId="4026A220" w:rsidR="009E2A18" w:rsidRDefault="009E2A18" w:rsidP="009E2A18"/>
    <w:sectPr w:rsidR="009E2A18" w:rsidSect="00B16229">
      <w:headerReference w:type="default" r:id="rId12"/>
      <w:footerReference w:type="default" r:id="rId13"/>
      <w:headerReference w:type="first" r:id="rId14"/>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A6FC4" w14:textId="77777777" w:rsidR="006B0B20" w:rsidRDefault="006B0B20" w:rsidP="007F4337">
      <w:r>
        <w:separator/>
      </w:r>
    </w:p>
  </w:endnote>
  <w:endnote w:type="continuationSeparator" w:id="0">
    <w:p w14:paraId="72963C13" w14:textId="77777777" w:rsidR="006B0B20" w:rsidRDefault="006B0B20" w:rsidP="007F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rundfos TheSans V2">
    <w:altName w:val="Segoe Script"/>
    <w:panose1 w:val="020B0503040303060204"/>
    <w:charset w:val="00"/>
    <w:family w:val="swiss"/>
    <w:pitch w:val="variable"/>
    <w:sig w:usb0="A00002FF" w:usb1="500064BB" w:usb2="00000000" w:usb3="00000000" w:csb0="0000009F" w:csb1="00000000"/>
  </w:font>
  <w:font w:name="Tahoma">
    <w:panose1 w:val="020B0604030504040204"/>
    <w:charset w:val="00"/>
    <w:family w:val="swiss"/>
    <w:pitch w:val="variable"/>
    <w:sig w:usb0="E1002EFF" w:usb1="C000605B" w:usb2="00000029" w:usb3="00000000" w:csb0="000101FF" w:csb1="00000000"/>
  </w:font>
  <w:font w:name="Grundfos TheSans">
    <w:altName w:val="Malgun Gothic"/>
    <w:panose1 w:val="020B0503040302060204"/>
    <w:charset w:val="00"/>
    <w:family w:val="swiss"/>
    <w:pitch w:val="variable"/>
    <w:sig w:usb0="800000A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940827"/>
      <w:docPartObj>
        <w:docPartGallery w:val="Page Numbers (Bottom of Page)"/>
        <w:docPartUnique/>
      </w:docPartObj>
    </w:sdtPr>
    <w:sdtEndPr>
      <w:rPr>
        <w:noProof/>
      </w:rPr>
    </w:sdtEndPr>
    <w:sdtContent>
      <w:p w14:paraId="084999FF" w14:textId="0CB38E8F" w:rsidR="006B0B20" w:rsidRDefault="006B0B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B4BDF0" w14:textId="77777777" w:rsidR="006B0B20" w:rsidRDefault="006B0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87720" w14:textId="77777777" w:rsidR="006B0B20" w:rsidRDefault="006B0B20" w:rsidP="007F4337">
      <w:r>
        <w:separator/>
      </w:r>
    </w:p>
  </w:footnote>
  <w:footnote w:type="continuationSeparator" w:id="0">
    <w:p w14:paraId="7F424D7A" w14:textId="77777777" w:rsidR="006B0B20" w:rsidRDefault="006B0B20" w:rsidP="007F4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6B23" w14:textId="77777777" w:rsidR="006B0B20" w:rsidRDefault="006B0B20" w:rsidP="00BB43BE">
    <w:pPr>
      <w:pStyle w:val="Header"/>
      <w:ind w:left="-567"/>
    </w:pPr>
    <w:r>
      <w:rPr>
        <w:noProof/>
        <w:lang w:eastAsia="en-GB"/>
      </w:rPr>
      <w:drawing>
        <wp:anchor distT="0" distB="0" distL="114300" distR="114300" simplePos="0" relativeHeight="251667456" behindDoc="1" locked="0" layoutInCell="1" allowOverlap="1" wp14:anchorId="437EEC29" wp14:editId="7736C9DE">
          <wp:simplePos x="0" y="0"/>
          <wp:positionH relativeFrom="page">
            <wp:posOffset>-480377</wp:posOffset>
          </wp:positionH>
          <wp:positionV relativeFrom="paragraph">
            <wp:posOffset>2229485</wp:posOffset>
          </wp:positionV>
          <wp:extent cx="8176260" cy="8338621"/>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fos Service Letterhead 0314 V6.jpg"/>
                  <pic:cNvPicPr/>
                </pic:nvPicPr>
                <pic:blipFill rotWithShape="1">
                  <a:blip r:embed="rId1" cstate="print">
                    <a:extLst>
                      <a:ext uri="{28A0092B-C50C-407E-A947-70E740481C1C}">
                        <a14:useLocalDpi xmlns:a14="http://schemas.microsoft.com/office/drawing/2010/main" val="0"/>
                      </a:ext>
                    </a:extLst>
                  </a:blip>
                  <a:srcRect t="26306"/>
                  <a:stretch/>
                </pic:blipFill>
                <pic:spPr bwMode="auto">
                  <a:xfrm>
                    <a:off x="0" y="0"/>
                    <a:ext cx="8176260" cy="83386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ED689" w14:textId="77777777" w:rsidR="006B0B20" w:rsidRDefault="006B0B20">
    <w:pPr>
      <w:pStyle w:val="Header"/>
    </w:pPr>
    <w:r>
      <w:rPr>
        <w:noProof/>
        <w:lang w:eastAsia="en-GB"/>
      </w:rPr>
      <w:drawing>
        <wp:anchor distT="0" distB="0" distL="114300" distR="114300" simplePos="0" relativeHeight="251665408" behindDoc="0" locked="0" layoutInCell="1" allowOverlap="1" wp14:anchorId="0BEB35D9" wp14:editId="597D8465">
          <wp:simplePos x="0" y="0"/>
          <wp:positionH relativeFrom="column">
            <wp:posOffset>-1208405</wp:posOffset>
          </wp:positionH>
          <wp:positionV relativeFrom="paragraph">
            <wp:posOffset>2277427</wp:posOffset>
          </wp:positionV>
          <wp:extent cx="8176260" cy="8301038"/>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t="26641"/>
                  <a:stretch/>
                </pic:blipFill>
                <pic:spPr bwMode="auto">
                  <a:xfrm>
                    <a:off x="0" y="0"/>
                    <a:ext cx="8176260" cy="830103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5D2C1BE"/>
    <w:lvl w:ilvl="0">
      <w:start w:val="1"/>
      <w:numFmt w:val="bullet"/>
      <w:pStyle w:val="ListBullet2"/>
      <w:lvlText w:val=""/>
      <w:lvlJc w:val="left"/>
      <w:pPr>
        <w:tabs>
          <w:tab w:val="num" w:pos="720"/>
        </w:tabs>
        <w:ind w:left="720" w:hanging="363"/>
      </w:pPr>
      <w:rPr>
        <w:rFonts w:ascii="Symbol" w:hAnsi="Symbol" w:hint="default"/>
      </w:rPr>
    </w:lvl>
  </w:abstractNum>
  <w:abstractNum w:abstractNumId="1" w15:restartNumberingAfterBreak="0">
    <w:nsid w:val="FFFFFF88"/>
    <w:multiLevelType w:val="singleLevel"/>
    <w:tmpl w:val="1848F97C"/>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BDDC1BA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A3C2F6C"/>
    <w:multiLevelType w:val="hybridMultilevel"/>
    <w:tmpl w:val="049E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mailMerge>
    <w:mainDocumentType w:val="formLetters"/>
    <w:linkToQuery/>
    <w:dataType w:val="native"/>
    <w:connectString w:val="Provider=Microsoft.ACE.OLEDB.12.0;User ID=Admin;Data Source=G:\EPSharedLeigh\SERVICE\Service Contract information\2015 CONTRACT INVOICE DATES - FEB Version- ALL INFO ON ONE SHEET.xlsm;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LL CONTRACTS $'`"/>
    <w:activeRecord w:val="46"/>
    <w:odso>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72B"/>
    <w:rsid w:val="000033C7"/>
    <w:rsid w:val="000167DE"/>
    <w:rsid w:val="00017691"/>
    <w:rsid w:val="0003181B"/>
    <w:rsid w:val="00033896"/>
    <w:rsid w:val="000416D3"/>
    <w:rsid w:val="0006040D"/>
    <w:rsid w:val="00065D24"/>
    <w:rsid w:val="0007138E"/>
    <w:rsid w:val="00072D77"/>
    <w:rsid w:val="00093662"/>
    <w:rsid w:val="00097719"/>
    <w:rsid w:val="000B09C1"/>
    <w:rsid w:val="000B5CFF"/>
    <w:rsid w:val="000E3D06"/>
    <w:rsid w:val="000F6283"/>
    <w:rsid w:val="001031EF"/>
    <w:rsid w:val="001070C2"/>
    <w:rsid w:val="0011189C"/>
    <w:rsid w:val="0011570F"/>
    <w:rsid w:val="00117C0B"/>
    <w:rsid w:val="00132382"/>
    <w:rsid w:val="0015119D"/>
    <w:rsid w:val="00156179"/>
    <w:rsid w:val="001676ED"/>
    <w:rsid w:val="001724CB"/>
    <w:rsid w:val="001B0D90"/>
    <w:rsid w:val="001B0F5E"/>
    <w:rsid w:val="001B24AE"/>
    <w:rsid w:val="001B7389"/>
    <w:rsid w:val="001C5BD6"/>
    <w:rsid w:val="001D6DBD"/>
    <w:rsid w:val="001E23A9"/>
    <w:rsid w:val="001E23F8"/>
    <w:rsid w:val="001E3099"/>
    <w:rsid w:val="00202678"/>
    <w:rsid w:val="002161EA"/>
    <w:rsid w:val="00222DE0"/>
    <w:rsid w:val="00224309"/>
    <w:rsid w:val="00240C84"/>
    <w:rsid w:val="00241E1F"/>
    <w:rsid w:val="00243C78"/>
    <w:rsid w:val="00250583"/>
    <w:rsid w:val="002570E5"/>
    <w:rsid w:val="0026125D"/>
    <w:rsid w:val="002622B4"/>
    <w:rsid w:val="002627D4"/>
    <w:rsid w:val="002815F2"/>
    <w:rsid w:val="002C26CE"/>
    <w:rsid w:val="002C671C"/>
    <w:rsid w:val="002C7977"/>
    <w:rsid w:val="002E4323"/>
    <w:rsid w:val="002F353A"/>
    <w:rsid w:val="002F5021"/>
    <w:rsid w:val="00306FE6"/>
    <w:rsid w:val="00307B71"/>
    <w:rsid w:val="003131BA"/>
    <w:rsid w:val="003369AC"/>
    <w:rsid w:val="00352733"/>
    <w:rsid w:val="003621B3"/>
    <w:rsid w:val="00365099"/>
    <w:rsid w:val="00367ADA"/>
    <w:rsid w:val="00371108"/>
    <w:rsid w:val="00383AE8"/>
    <w:rsid w:val="00390956"/>
    <w:rsid w:val="003942CA"/>
    <w:rsid w:val="003A667B"/>
    <w:rsid w:val="003C260C"/>
    <w:rsid w:val="003C5C91"/>
    <w:rsid w:val="003D1501"/>
    <w:rsid w:val="003E1850"/>
    <w:rsid w:val="003E7736"/>
    <w:rsid w:val="003F1CA5"/>
    <w:rsid w:val="003F2F07"/>
    <w:rsid w:val="003F7C99"/>
    <w:rsid w:val="00401672"/>
    <w:rsid w:val="00420157"/>
    <w:rsid w:val="00440B42"/>
    <w:rsid w:val="00443082"/>
    <w:rsid w:val="004501DA"/>
    <w:rsid w:val="004611DA"/>
    <w:rsid w:val="004621BD"/>
    <w:rsid w:val="004719F2"/>
    <w:rsid w:val="004925FD"/>
    <w:rsid w:val="004B6A46"/>
    <w:rsid w:val="004D1E84"/>
    <w:rsid w:val="004F09F9"/>
    <w:rsid w:val="005019FA"/>
    <w:rsid w:val="00504E9B"/>
    <w:rsid w:val="005056E8"/>
    <w:rsid w:val="00537CF2"/>
    <w:rsid w:val="00545674"/>
    <w:rsid w:val="00547284"/>
    <w:rsid w:val="00565A0C"/>
    <w:rsid w:val="00566658"/>
    <w:rsid w:val="00567E21"/>
    <w:rsid w:val="005700B4"/>
    <w:rsid w:val="00573C2D"/>
    <w:rsid w:val="005815B4"/>
    <w:rsid w:val="00586C39"/>
    <w:rsid w:val="00595029"/>
    <w:rsid w:val="00595264"/>
    <w:rsid w:val="005F2B91"/>
    <w:rsid w:val="005F5149"/>
    <w:rsid w:val="006078DA"/>
    <w:rsid w:val="006425F6"/>
    <w:rsid w:val="00644F38"/>
    <w:rsid w:val="006509FE"/>
    <w:rsid w:val="006525D8"/>
    <w:rsid w:val="00672073"/>
    <w:rsid w:val="00676C1F"/>
    <w:rsid w:val="00677147"/>
    <w:rsid w:val="006805A8"/>
    <w:rsid w:val="0068340F"/>
    <w:rsid w:val="0068600B"/>
    <w:rsid w:val="006A1957"/>
    <w:rsid w:val="006B0B20"/>
    <w:rsid w:val="006B0E7E"/>
    <w:rsid w:val="006C64AA"/>
    <w:rsid w:val="006D7026"/>
    <w:rsid w:val="006E660B"/>
    <w:rsid w:val="006F69B3"/>
    <w:rsid w:val="0070029F"/>
    <w:rsid w:val="007249BF"/>
    <w:rsid w:val="0072663B"/>
    <w:rsid w:val="00733BD8"/>
    <w:rsid w:val="00756A5B"/>
    <w:rsid w:val="00765ED2"/>
    <w:rsid w:val="007674C9"/>
    <w:rsid w:val="00770BF9"/>
    <w:rsid w:val="00772B3A"/>
    <w:rsid w:val="007A1DFE"/>
    <w:rsid w:val="007A1F20"/>
    <w:rsid w:val="007C0785"/>
    <w:rsid w:val="007C5890"/>
    <w:rsid w:val="007E61F1"/>
    <w:rsid w:val="007E6890"/>
    <w:rsid w:val="007E7F2E"/>
    <w:rsid w:val="007F3002"/>
    <w:rsid w:val="007F4337"/>
    <w:rsid w:val="007F491C"/>
    <w:rsid w:val="007F6F9A"/>
    <w:rsid w:val="008052E7"/>
    <w:rsid w:val="00805D6B"/>
    <w:rsid w:val="008137B8"/>
    <w:rsid w:val="00824716"/>
    <w:rsid w:val="008329D7"/>
    <w:rsid w:val="00835173"/>
    <w:rsid w:val="00835D67"/>
    <w:rsid w:val="00852C17"/>
    <w:rsid w:val="00854D28"/>
    <w:rsid w:val="008753BF"/>
    <w:rsid w:val="00890BD9"/>
    <w:rsid w:val="00893051"/>
    <w:rsid w:val="008A09FC"/>
    <w:rsid w:val="008B19A0"/>
    <w:rsid w:val="008C3B56"/>
    <w:rsid w:val="008C5DF3"/>
    <w:rsid w:val="00913A70"/>
    <w:rsid w:val="0091628A"/>
    <w:rsid w:val="009300FB"/>
    <w:rsid w:val="009362ED"/>
    <w:rsid w:val="009473B3"/>
    <w:rsid w:val="009509E0"/>
    <w:rsid w:val="00953B0A"/>
    <w:rsid w:val="00953F9F"/>
    <w:rsid w:val="00957332"/>
    <w:rsid w:val="00964ED2"/>
    <w:rsid w:val="009650EB"/>
    <w:rsid w:val="00994C30"/>
    <w:rsid w:val="009A5A83"/>
    <w:rsid w:val="009C480A"/>
    <w:rsid w:val="009C6E33"/>
    <w:rsid w:val="009D53C1"/>
    <w:rsid w:val="009D70C5"/>
    <w:rsid w:val="009E2A18"/>
    <w:rsid w:val="009E325B"/>
    <w:rsid w:val="009E36D6"/>
    <w:rsid w:val="00A13046"/>
    <w:rsid w:val="00A24692"/>
    <w:rsid w:val="00A30FAE"/>
    <w:rsid w:val="00A50256"/>
    <w:rsid w:val="00A60F49"/>
    <w:rsid w:val="00A674A6"/>
    <w:rsid w:val="00A72943"/>
    <w:rsid w:val="00A77AF0"/>
    <w:rsid w:val="00A938C7"/>
    <w:rsid w:val="00AA17C1"/>
    <w:rsid w:val="00AA7B92"/>
    <w:rsid w:val="00AB1BA2"/>
    <w:rsid w:val="00AE62AB"/>
    <w:rsid w:val="00B16229"/>
    <w:rsid w:val="00B200F9"/>
    <w:rsid w:val="00B25D38"/>
    <w:rsid w:val="00B25F8B"/>
    <w:rsid w:val="00B36C53"/>
    <w:rsid w:val="00B429E2"/>
    <w:rsid w:val="00B44FFE"/>
    <w:rsid w:val="00B45706"/>
    <w:rsid w:val="00B45A47"/>
    <w:rsid w:val="00B50778"/>
    <w:rsid w:val="00B67DD3"/>
    <w:rsid w:val="00B730AC"/>
    <w:rsid w:val="00B91455"/>
    <w:rsid w:val="00B93852"/>
    <w:rsid w:val="00BB43BE"/>
    <w:rsid w:val="00BD5560"/>
    <w:rsid w:val="00BD62B4"/>
    <w:rsid w:val="00BE1ADF"/>
    <w:rsid w:val="00BF038F"/>
    <w:rsid w:val="00BF61DF"/>
    <w:rsid w:val="00BF7629"/>
    <w:rsid w:val="00C0072B"/>
    <w:rsid w:val="00C15C8D"/>
    <w:rsid w:val="00C16395"/>
    <w:rsid w:val="00C422BF"/>
    <w:rsid w:val="00C523E8"/>
    <w:rsid w:val="00C55F81"/>
    <w:rsid w:val="00C60BB5"/>
    <w:rsid w:val="00C7786C"/>
    <w:rsid w:val="00C86491"/>
    <w:rsid w:val="00C97AE2"/>
    <w:rsid w:val="00CA7A07"/>
    <w:rsid w:val="00CB1730"/>
    <w:rsid w:val="00CB3BB9"/>
    <w:rsid w:val="00CC0879"/>
    <w:rsid w:val="00CD0D0D"/>
    <w:rsid w:val="00CF41F0"/>
    <w:rsid w:val="00D0086A"/>
    <w:rsid w:val="00D02E25"/>
    <w:rsid w:val="00D11F54"/>
    <w:rsid w:val="00D317F9"/>
    <w:rsid w:val="00D35C67"/>
    <w:rsid w:val="00D373E6"/>
    <w:rsid w:val="00D4052B"/>
    <w:rsid w:val="00D47F6D"/>
    <w:rsid w:val="00DA208D"/>
    <w:rsid w:val="00DB2564"/>
    <w:rsid w:val="00DB4AAD"/>
    <w:rsid w:val="00DC1731"/>
    <w:rsid w:val="00DD2C67"/>
    <w:rsid w:val="00DD447D"/>
    <w:rsid w:val="00DD4F1E"/>
    <w:rsid w:val="00E02736"/>
    <w:rsid w:val="00E064C0"/>
    <w:rsid w:val="00E14ACA"/>
    <w:rsid w:val="00E15AD7"/>
    <w:rsid w:val="00E476CA"/>
    <w:rsid w:val="00E535B0"/>
    <w:rsid w:val="00E558C6"/>
    <w:rsid w:val="00E65571"/>
    <w:rsid w:val="00E66AE3"/>
    <w:rsid w:val="00E72380"/>
    <w:rsid w:val="00E75071"/>
    <w:rsid w:val="00E753C2"/>
    <w:rsid w:val="00E85430"/>
    <w:rsid w:val="00E86BDF"/>
    <w:rsid w:val="00E902A8"/>
    <w:rsid w:val="00E9037F"/>
    <w:rsid w:val="00E91C30"/>
    <w:rsid w:val="00EA2E57"/>
    <w:rsid w:val="00EA3778"/>
    <w:rsid w:val="00EC065B"/>
    <w:rsid w:val="00EC14FF"/>
    <w:rsid w:val="00EC4409"/>
    <w:rsid w:val="00EE2026"/>
    <w:rsid w:val="00EE65A1"/>
    <w:rsid w:val="00EF53C9"/>
    <w:rsid w:val="00F0397A"/>
    <w:rsid w:val="00F27299"/>
    <w:rsid w:val="00F35527"/>
    <w:rsid w:val="00F63F01"/>
    <w:rsid w:val="00F724C1"/>
    <w:rsid w:val="00F853D4"/>
    <w:rsid w:val="00FA1A69"/>
    <w:rsid w:val="00FB1135"/>
    <w:rsid w:val="00FB1E1D"/>
    <w:rsid w:val="00FB5156"/>
    <w:rsid w:val="00FC3861"/>
    <w:rsid w:val="00FC475F"/>
    <w:rsid w:val="00FC6517"/>
    <w:rsid w:val="00FD1D20"/>
    <w:rsid w:val="00FD3B6F"/>
    <w:rsid w:val="00FD4E95"/>
    <w:rsid w:val="00FF46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098E56B9"/>
  <w15:docId w15:val="{FFC05D88-DEC2-494E-B5D6-B022908F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072B"/>
    <w:rPr>
      <w:rFonts w:ascii="Arial" w:hAnsi="Arial"/>
      <w:sz w:val="24"/>
    </w:rPr>
  </w:style>
  <w:style w:type="paragraph" w:styleId="Heading1">
    <w:name w:val="heading 1"/>
    <w:basedOn w:val="Normal"/>
    <w:next w:val="Normal"/>
    <w:link w:val="Heading1Char"/>
    <w:qFormat/>
    <w:rsid w:val="00FA1A69"/>
    <w:pPr>
      <w:keepNext/>
      <w:spacing w:before="240" w:after="60"/>
      <w:outlineLvl w:val="0"/>
    </w:pPr>
    <w:rPr>
      <w:rFonts w:eastAsiaTheme="majorEastAsia" w:cs="Arial"/>
      <w:b/>
      <w:bCs/>
      <w:sz w:val="28"/>
      <w:szCs w:val="28"/>
    </w:rPr>
  </w:style>
  <w:style w:type="paragraph" w:styleId="Heading2">
    <w:name w:val="heading 2"/>
    <w:basedOn w:val="Normal"/>
    <w:next w:val="Normal"/>
    <w:link w:val="Heading2Char"/>
    <w:qFormat/>
    <w:rsid w:val="00FA1A69"/>
    <w:pPr>
      <w:keepNext/>
      <w:spacing w:before="240" w:after="60"/>
      <w:outlineLvl w:val="1"/>
    </w:pPr>
    <w:rPr>
      <w:rFonts w:eastAsiaTheme="majorEastAsia" w:cs="Arial"/>
      <w:b/>
      <w:bCs/>
      <w:iCs/>
      <w:szCs w:val="28"/>
    </w:rPr>
  </w:style>
  <w:style w:type="paragraph" w:styleId="Heading3">
    <w:name w:val="heading 3"/>
    <w:basedOn w:val="Normal"/>
    <w:next w:val="Normal"/>
    <w:link w:val="Heading3Char"/>
    <w:qFormat/>
    <w:rsid w:val="00FA1A69"/>
    <w:pPr>
      <w:keepNext/>
      <w:spacing w:before="240" w:after="60"/>
      <w:outlineLvl w:val="2"/>
    </w:pPr>
    <w:rPr>
      <w:rFonts w:eastAsiaTheme="majorEastAsia" w:cs="Arial"/>
      <w:b/>
      <w:bCs/>
      <w:szCs w:val="26"/>
    </w:rPr>
  </w:style>
  <w:style w:type="paragraph" w:styleId="Heading7">
    <w:name w:val="heading 7"/>
    <w:basedOn w:val="Normal"/>
    <w:next w:val="Normal"/>
    <w:link w:val="Heading7Char"/>
    <w:semiHidden/>
    <w:unhideWhenUsed/>
    <w:qFormat/>
    <w:rsid w:val="00FA1A6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A1A6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A1A69"/>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A69"/>
    <w:rPr>
      <w:rFonts w:ascii="Grundfos TheSans V2" w:eastAsiaTheme="majorEastAsia" w:hAnsi="Grundfos TheSans V2" w:cs="Arial"/>
      <w:b/>
      <w:bCs/>
      <w:sz w:val="28"/>
      <w:szCs w:val="28"/>
    </w:rPr>
  </w:style>
  <w:style w:type="character" w:customStyle="1" w:styleId="Heading2Char">
    <w:name w:val="Heading 2 Char"/>
    <w:basedOn w:val="DefaultParagraphFont"/>
    <w:link w:val="Heading2"/>
    <w:rsid w:val="00FA1A69"/>
    <w:rPr>
      <w:rFonts w:ascii="Grundfos TheSans V2" w:eastAsiaTheme="majorEastAsia" w:hAnsi="Grundfos TheSans V2" w:cs="Arial"/>
      <w:b/>
      <w:bCs/>
      <w:iCs/>
      <w:sz w:val="24"/>
      <w:szCs w:val="28"/>
    </w:rPr>
  </w:style>
  <w:style w:type="character" w:customStyle="1" w:styleId="Heading3Char">
    <w:name w:val="Heading 3 Char"/>
    <w:basedOn w:val="DefaultParagraphFont"/>
    <w:link w:val="Heading3"/>
    <w:rsid w:val="00FA1A69"/>
    <w:rPr>
      <w:rFonts w:ascii="Grundfos TheSans V2" w:eastAsiaTheme="majorEastAsia" w:hAnsi="Grundfos TheSans V2" w:cs="Arial"/>
      <w:b/>
      <w:bCs/>
      <w:sz w:val="24"/>
      <w:szCs w:val="26"/>
    </w:rPr>
  </w:style>
  <w:style w:type="character" w:customStyle="1" w:styleId="Heading7Char">
    <w:name w:val="Heading 7 Char"/>
    <w:basedOn w:val="DefaultParagraphFont"/>
    <w:link w:val="Heading7"/>
    <w:semiHidden/>
    <w:rsid w:val="00FA1A6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FA1A69"/>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A1A69"/>
    <w:rPr>
      <w:rFonts w:asciiTheme="majorHAnsi" w:eastAsiaTheme="majorEastAsia" w:hAnsiTheme="majorHAnsi" w:cstheme="majorBidi"/>
      <w:i/>
      <w:iCs/>
      <w:color w:val="404040" w:themeColor="text1" w:themeTint="BF"/>
    </w:rPr>
  </w:style>
  <w:style w:type="paragraph" w:styleId="Caption">
    <w:name w:val="caption"/>
    <w:basedOn w:val="Normal"/>
    <w:next w:val="Normal"/>
    <w:semiHidden/>
    <w:qFormat/>
    <w:rsid w:val="00FA1A69"/>
    <w:pPr>
      <w:spacing w:after="200"/>
    </w:pPr>
    <w:rPr>
      <w:b/>
      <w:bCs/>
      <w:color w:val="4F81BD" w:themeColor="accent1"/>
      <w:sz w:val="18"/>
      <w:szCs w:val="18"/>
    </w:rPr>
  </w:style>
  <w:style w:type="paragraph" w:styleId="ListBullet">
    <w:name w:val="List Bullet"/>
    <w:basedOn w:val="Normal"/>
    <w:qFormat/>
    <w:rsid w:val="00FA1A69"/>
    <w:pPr>
      <w:numPr>
        <w:numId w:val="28"/>
      </w:numPr>
    </w:pPr>
  </w:style>
  <w:style w:type="paragraph" w:styleId="ListNumber">
    <w:name w:val="List Number"/>
    <w:basedOn w:val="Normal"/>
    <w:qFormat/>
    <w:rsid w:val="00FA1A69"/>
    <w:pPr>
      <w:numPr>
        <w:numId w:val="29"/>
      </w:numPr>
    </w:pPr>
  </w:style>
  <w:style w:type="paragraph" w:styleId="ListBullet2">
    <w:name w:val="List Bullet 2"/>
    <w:basedOn w:val="Normal"/>
    <w:qFormat/>
    <w:rsid w:val="00FA1A69"/>
    <w:pPr>
      <w:numPr>
        <w:numId w:val="30"/>
      </w:numPr>
    </w:pPr>
  </w:style>
  <w:style w:type="paragraph" w:styleId="TOCHeading">
    <w:name w:val="TOC Heading"/>
    <w:basedOn w:val="Heading1"/>
    <w:next w:val="Normal"/>
    <w:uiPriority w:val="39"/>
    <w:semiHidden/>
    <w:unhideWhenUsed/>
    <w:qFormat/>
    <w:rsid w:val="00FA1A69"/>
    <w:pPr>
      <w:keepLines/>
      <w:spacing w:before="480" w:after="0"/>
      <w:outlineLvl w:val="9"/>
    </w:pPr>
    <w:rPr>
      <w:rFonts w:asciiTheme="majorHAnsi" w:hAnsiTheme="majorHAnsi" w:cstheme="majorBidi"/>
      <w:color w:val="365F91" w:themeColor="accent1" w:themeShade="BF"/>
    </w:rPr>
  </w:style>
  <w:style w:type="paragraph" w:styleId="Header">
    <w:name w:val="header"/>
    <w:basedOn w:val="Normal"/>
    <w:link w:val="HeaderChar"/>
    <w:unhideWhenUsed/>
    <w:rsid w:val="007F4337"/>
    <w:pPr>
      <w:tabs>
        <w:tab w:val="center" w:pos="4513"/>
        <w:tab w:val="right" w:pos="9026"/>
      </w:tabs>
    </w:pPr>
  </w:style>
  <w:style w:type="character" w:customStyle="1" w:styleId="HeaderChar">
    <w:name w:val="Header Char"/>
    <w:basedOn w:val="DefaultParagraphFont"/>
    <w:link w:val="Header"/>
    <w:uiPriority w:val="99"/>
    <w:rsid w:val="007F4337"/>
    <w:rPr>
      <w:rFonts w:ascii="Grundfos TheSans V2" w:hAnsi="Grundfos TheSans V2"/>
      <w:sz w:val="24"/>
      <w:szCs w:val="24"/>
    </w:rPr>
  </w:style>
  <w:style w:type="paragraph" w:styleId="Footer">
    <w:name w:val="footer"/>
    <w:basedOn w:val="Normal"/>
    <w:link w:val="FooterChar"/>
    <w:uiPriority w:val="99"/>
    <w:unhideWhenUsed/>
    <w:rsid w:val="007F4337"/>
    <w:pPr>
      <w:tabs>
        <w:tab w:val="center" w:pos="4513"/>
        <w:tab w:val="right" w:pos="9026"/>
      </w:tabs>
    </w:pPr>
  </w:style>
  <w:style w:type="character" w:customStyle="1" w:styleId="FooterChar">
    <w:name w:val="Footer Char"/>
    <w:basedOn w:val="DefaultParagraphFont"/>
    <w:link w:val="Footer"/>
    <w:uiPriority w:val="99"/>
    <w:rsid w:val="007F4337"/>
    <w:rPr>
      <w:rFonts w:ascii="Grundfos TheSans V2" w:hAnsi="Grundfos TheSans V2"/>
      <w:sz w:val="24"/>
      <w:szCs w:val="24"/>
    </w:rPr>
  </w:style>
  <w:style w:type="paragraph" w:styleId="BalloonText">
    <w:name w:val="Balloon Text"/>
    <w:basedOn w:val="Normal"/>
    <w:link w:val="BalloonTextChar"/>
    <w:uiPriority w:val="99"/>
    <w:semiHidden/>
    <w:unhideWhenUsed/>
    <w:rsid w:val="007F4337"/>
    <w:rPr>
      <w:rFonts w:ascii="Tahoma" w:hAnsi="Tahoma" w:cs="Tahoma"/>
      <w:sz w:val="16"/>
      <w:szCs w:val="16"/>
    </w:rPr>
  </w:style>
  <w:style w:type="character" w:customStyle="1" w:styleId="BalloonTextChar">
    <w:name w:val="Balloon Text Char"/>
    <w:basedOn w:val="DefaultParagraphFont"/>
    <w:link w:val="BalloonText"/>
    <w:uiPriority w:val="99"/>
    <w:semiHidden/>
    <w:rsid w:val="007F4337"/>
    <w:rPr>
      <w:rFonts w:ascii="Tahoma" w:hAnsi="Tahoma" w:cs="Tahoma"/>
      <w:sz w:val="16"/>
      <w:szCs w:val="16"/>
    </w:rPr>
  </w:style>
  <w:style w:type="character" w:styleId="Hyperlink">
    <w:name w:val="Hyperlink"/>
    <w:basedOn w:val="DefaultParagraphFont"/>
    <w:uiPriority w:val="99"/>
    <w:unhideWhenUsed/>
    <w:rsid w:val="00BB43BE"/>
    <w:rPr>
      <w:color w:val="0000FF" w:themeColor="hyperlink"/>
      <w:u w:val="single"/>
    </w:rPr>
  </w:style>
  <w:style w:type="table" w:styleId="GridTable4-Accent1">
    <w:name w:val="Grid Table 4 Accent 1"/>
    <w:basedOn w:val="TableNormal"/>
    <w:uiPriority w:val="49"/>
    <w:rsid w:val="00A24692"/>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DC1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1189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PlainTable4">
    <w:name w:val="Plain Table 4"/>
    <w:basedOn w:val="TableNormal"/>
    <w:uiPriority w:val="44"/>
    <w:rsid w:val="008C3B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43C7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rsid w:val="00222DE0"/>
    <w:pPr>
      <w:ind w:left="720"/>
      <w:contextualSpacing/>
    </w:pPr>
  </w:style>
  <w:style w:type="paragraph" w:styleId="BodyText3">
    <w:name w:val="Body Text 3"/>
    <w:basedOn w:val="Normal"/>
    <w:link w:val="BodyText3Char"/>
    <w:uiPriority w:val="99"/>
    <w:rsid w:val="009E2A18"/>
    <w:pPr>
      <w:spacing w:after="120"/>
    </w:pPr>
    <w:rPr>
      <w:rFonts w:ascii="Grundfos TheSans" w:hAnsi="Grundfos TheSans"/>
      <w:sz w:val="16"/>
      <w:szCs w:val="16"/>
    </w:rPr>
  </w:style>
  <w:style w:type="character" w:customStyle="1" w:styleId="BodyText3Char">
    <w:name w:val="Body Text 3 Char"/>
    <w:basedOn w:val="DefaultParagraphFont"/>
    <w:link w:val="BodyText3"/>
    <w:uiPriority w:val="99"/>
    <w:rsid w:val="009E2A18"/>
    <w:rPr>
      <w:rFonts w:ascii="Grundfos TheSans" w:hAnsi="Grundfos TheSan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6394">
      <w:bodyDiv w:val="1"/>
      <w:marLeft w:val="0"/>
      <w:marRight w:val="0"/>
      <w:marTop w:val="0"/>
      <w:marBottom w:val="0"/>
      <w:divBdr>
        <w:top w:val="none" w:sz="0" w:space="0" w:color="auto"/>
        <w:left w:val="none" w:sz="0" w:space="0" w:color="auto"/>
        <w:bottom w:val="none" w:sz="0" w:space="0" w:color="auto"/>
        <w:right w:val="none" w:sz="0" w:space="0" w:color="auto"/>
      </w:divBdr>
    </w:div>
    <w:div w:id="288899071">
      <w:bodyDiv w:val="1"/>
      <w:marLeft w:val="0"/>
      <w:marRight w:val="0"/>
      <w:marTop w:val="0"/>
      <w:marBottom w:val="0"/>
      <w:divBdr>
        <w:top w:val="none" w:sz="0" w:space="0" w:color="auto"/>
        <w:left w:val="none" w:sz="0" w:space="0" w:color="auto"/>
        <w:bottom w:val="none" w:sz="0" w:space="0" w:color="auto"/>
        <w:right w:val="none" w:sz="0" w:space="0" w:color="auto"/>
      </w:divBdr>
    </w:div>
    <w:div w:id="448938916">
      <w:bodyDiv w:val="1"/>
      <w:marLeft w:val="0"/>
      <w:marRight w:val="0"/>
      <w:marTop w:val="0"/>
      <w:marBottom w:val="0"/>
      <w:divBdr>
        <w:top w:val="none" w:sz="0" w:space="0" w:color="auto"/>
        <w:left w:val="none" w:sz="0" w:space="0" w:color="auto"/>
        <w:bottom w:val="none" w:sz="0" w:space="0" w:color="auto"/>
        <w:right w:val="none" w:sz="0" w:space="0" w:color="auto"/>
      </w:divBdr>
    </w:div>
    <w:div w:id="21314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208\Desktop\Grundfos%20Service%20letter%20head%20template%20V2%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EE39A2EC0B82418E54FD61974F2AA3" ma:contentTypeVersion="13" ma:contentTypeDescription="Create a new document." ma:contentTypeScope="" ma:versionID="0dab279a8961fec447838d78c8331ba6">
  <xsd:schema xmlns:xsd="http://www.w3.org/2001/XMLSchema" xmlns:xs="http://www.w3.org/2001/XMLSchema" xmlns:p="http://schemas.microsoft.com/office/2006/metadata/properties" xmlns:ns3="09cadb38-c721-4afa-8c58-e945af1f02f0" xmlns:ns4="a4a981f0-3213-4af1-89f2-8e9a1699afbd" targetNamespace="http://schemas.microsoft.com/office/2006/metadata/properties" ma:root="true" ma:fieldsID="3548989de7f2eb98f472d029dca8e46d" ns3:_="" ns4:_="">
    <xsd:import namespace="09cadb38-c721-4afa-8c58-e945af1f02f0"/>
    <xsd:import namespace="a4a981f0-3213-4af1-89f2-8e9a1699af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adb38-c721-4afa-8c58-e945af1f02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a981f0-3213-4af1-89f2-8e9a1699af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04FE0-3E30-4785-9440-5ED93C5C3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adb38-c721-4afa-8c58-e945af1f02f0"/>
    <ds:schemaRef ds:uri="a4a981f0-3213-4af1-89f2-8e9a1699af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37FC05-933D-4256-8450-B7CC19CE39A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4a981f0-3213-4af1-89f2-8e9a1699afbd"/>
    <ds:schemaRef ds:uri="09cadb38-c721-4afa-8c58-e945af1f02f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72965B9-B730-44EC-81DA-CEB666F9F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Grundfos Service letter head template V2 (2)</Template>
  <TotalTime>0</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Grundfos A/S</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Jones</dc:creator>
  <cp:lastModifiedBy>Victoria Mulford</cp:lastModifiedBy>
  <cp:revision>3</cp:revision>
  <cp:lastPrinted>2015-02-24T13:56:00Z</cp:lastPrinted>
  <dcterms:created xsi:type="dcterms:W3CDTF">2020-08-12T09:32:00Z</dcterms:created>
  <dcterms:modified xsi:type="dcterms:W3CDTF">2020-08-12T09:49:00Z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0x010100D0EE39A2EC0B82418E54FD61974F2AA3</vt:lpwstr>
  </property>
</Properties>
</file>